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35749" w14:textId="77777777" w:rsidR="007E400B" w:rsidRPr="00135B4B" w:rsidRDefault="00CD5834" w:rsidP="00CD5834">
      <w:pPr>
        <w:pStyle w:val="NoSpacing"/>
        <w:rPr>
          <w:rFonts w:ascii="Times New Roman" w:hAnsi="Times New Roman" w:cs="Times New Roman"/>
          <w:b/>
        </w:rPr>
      </w:pPr>
      <w:bookmarkStart w:id="0" w:name="_GoBack"/>
      <w:bookmarkEnd w:id="0"/>
      <w:r w:rsidRPr="00135B4B">
        <w:rPr>
          <w:rFonts w:ascii="Times New Roman" w:hAnsi="Times New Roman" w:cs="Times New Roman"/>
          <w:b/>
        </w:rPr>
        <w:t>Unclaimed Property</w:t>
      </w:r>
      <w:r w:rsidR="005F351E">
        <w:rPr>
          <w:rFonts w:ascii="Times New Roman" w:hAnsi="Times New Roman" w:cs="Times New Roman"/>
          <w:b/>
        </w:rPr>
        <w:t xml:space="preserve">: </w:t>
      </w:r>
      <w:r w:rsidRPr="00135B4B">
        <w:rPr>
          <w:rFonts w:ascii="Times New Roman" w:hAnsi="Times New Roman" w:cs="Times New Roman"/>
          <w:b/>
        </w:rPr>
        <w:t xml:space="preserve"> </w:t>
      </w:r>
      <w:r w:rsidR="00352655">
        <w:rPr>
          <w:rFonts w:ascii="Times New Roman" w:hAnsi="Times New Roman" w:cs="Times New Roman"/>
          <w:b/>
        </w:rPr>
        <w:t xml:space="preserve"> </w:t>
      </w:r>
      <w:r w:rsidR="00973AB7">
        <w:rPr>
          <w:rFonts w:ascii="Times New Roman" w:hAnsi="Times New Roman" w:cs="Times New Roman"/>
          <w:b/>
        </w:rPr>
        <w:t>Due Diligence Monitoring</w:t>
      </w:r>
      <w:r w:rsidR="00B906CB">
        <w:rPr>
          <w:rFonts w:ascii="Times New Roman" w:hAnsi="Times New Roman" w:cs="Times New Roman"/>
          <w:b/>
        </w:rPr>
        <w:t xml:space="preserve"> </w:t>
      </w:r>
      <w:r w:rsidR="00352655">
        <w:rPr>
          <w:rFonts w:ascii="Times New Roman" w:hAnsi="Times New Roman" w:cs="Times New Roman"/>
          <w:b/>
        </w:rPr>
        <w:t xml:space="preserve">for </w:t>
      </w:r>
      <w:r w:rsidR="00E46BD1">
        <w:rPr>
          <w:rFonts w:ascii="Times New Roman" w:hAnsi="Times New Roman" w:cs="Times New Roman"/>
          <w:b/>
        </w:rPr>
        <w:t>Accounts Receivable Credits</w:t>
      </w:r>
    </w:p>
    <w:p w14:paraId="69B84763" w14:textId="77777777" w:rsidR="00CD5834" w:rsidRDefault="00CD5834" w:rsidP="00CD5834">
      <w:pPr>
        <w:pStyle w:val="NoSpacing"/>
        <w:rPr>
          <w:rFonts w:ascii="Times New Roman" w:hAnsi="Times New Roman" w:cs="Times New Roman"/>
        </w:rPr>
      </w:pPr>
      <w:r w:rsidRPr="00135B4B">
        <w:rPr>
          <w:rFonts w:ascii="Times New Roman" w:hAnsi="Times New Roman" w:cs="Times New Roman"/>
          <w:b/>
        </w:rPr>
        <w:t>Effective Date:</w:t>
      </w:r>
      <w:r>
        <w:rPr>
          <w:rFonts w:ascii="Times New Roman" w:hAnsi="Times New Roman" w:cs="Times New Roman"/>
        </w:rPr>
        <w:t xml:space="preserve">  </w:t>
      </w:r>
      <w:r w:rsidR="00E46BD1">
        <w:rPr>
          <w:rFonts w:ascii="Times New Roman" w:hAnsi="Times New Roman" w:cs="Times New Roman"/>
        </w:rPr>
        <w:t>January</w:t>
      </w:r>
      <w:r w:rsidR="006B2C45">
        <w:rPr>
          <w:rFonts w:ascii="Times New Roman" w:hAnsi="Times New Roman" w:cs="Times New Roman"/>
        </w:rPr>
        <w:t>,</w:t>
      </w:r>
      <w:r w:rsidR="00E46BD1">
        <w:rPr>
          <w:rFonts w:ascii="Times New Roman" w:hAnsi="Times New Roman" w:cs="Times New Roman"/>
        </w:rPr>
        <w:t xml:space="preserve"> 2014</w:t>
      </w:r>
    </w:p>
    <w:p w14:paraId="5D977FD3" w14:textId="7932CD88" w:rsidR="00CD5834" w:rsidRPr="006B2C45" w:rsidRDefault="00CD5834" w:rsidP="00CD5834">
      <w:pPr>
        <w:pStyle w:val="NoSpacing"/>
        <w:rPr>
          <w:rFonts w:ascii="Times New Roman" w:hAnsi="Times New Roman" w:cs="Times New Roman"/>
        </w:rPr>
      </w:pPr>
      <w:r w:rsidRPr="00135B4B">
        <w:rPr>
          <w:rFonts w:ascii="Times New Roman" w:hAnsi="Times New Roman" w:cs="Times New Roman"/>
          <w:b/>
        </w:rPr>
        <w:t>Revised</w:t>
      </w:r>
      <w:r w:rsidR="00135B4B">
        <w:rPr>
          <w:rFonts w:ascii="Times New Roman" w:hAnsi="Times New Roman" w:cs="Times New Roman"/>
          <w:b/>
        </w:rPr>
        <w:t>:</w:t>
      </w:r>
      <w:r w:rsidR="005F1531">
        <w:rPr>
          <w:rFonts w:ascii="Times New Roman" w:hAnsi="Times New Roman" w:cs="Times New Roman"/>
          <w:b/>
        </w:rPr>
        <w:t xml:space="preserve"> </w:t>
      </w:r>
      <w:r w:rsidR="000538B9">
        <w:rPr>
          <w:rFonts w:ascii="Times New Roman" w:hAnsi="Times New Roman" w:cs="Times New Roman"/>
        </w:rPr>
        <w:t>May</w:t>
      </w:r>
      <w:r w:rsidR="006B2C45" w:rsidRPr="006B2C45">
        <w:rPr>
          <w:rFonts w:ascii="Times New Roman" w:hAnsi="Times New Roman" w:cs="Times New Roman"/>
        </w:rPr>
        <w:t>, 20</w:t>
      </w:r>
      <w:r w:rsidR="000538B9">
        <w:rPr>
          <w:rFonts w:ascii="Times New Roman" w:hAnsi="Times New Roman" w:cs="Times New Roman"/>
        </w:rPr>
        <w:t>21</w:t>
      </w:r>
    </w:p>
    <w:p w14:paraId="180F99D9" w14:textId="77777777" w:rsidR="00C607FE" w:rsidRDefault="00C607FE" w:rsidP="00CD5834">
      <w:pPr>
        <w:pStyle w:val="NoSpacing"/>
        <w:rPr>
          <w:rFonts w:ascii="Times New Roman" w:hAnsi="Times New Roman" w:cs="Times New Roman"/>
          <w:b/>
        </w:rPr>
      </w:pPr>
    </w:p>
    <w:p w14:paraId="298DC54B" w14:textId="77777777" w:rsidR="00C607FE" w:rsidRDefault="00C607FE" w:rsidP="00C607FE">
      <w:pPr>
        <w:pStyle w:val="NoSpacing"/>
        <w:rPr>
          <w:rFonts w:ascii="Times New Roman" w:hAnsi="Times New Roman" w:cs="Times New Roman"/>
          <w:b/>
        </w:rPr>
      </w:pPr>
      <w:r w:rsidRPr="003371FC">
        <w:rPr>
          <w:rFonts w:ascii="Times New Roman" w:hAnsi="Times New Roman" w:cs="Times New Roman"/>
          <w:b/>
        </w:rPr>
        <w:t>Due Date</w:t>
      </w:r>
      <w:r w:rsidR="006B2C45">
        <w:rPr>
          <w:rFonts w:ascii="Times New Roman" w:hAnsi="Times New Roman" w:cs="Times New Roman"/>
          <w:b/>
        </w:rPr>
        <w:t>s</w:t>
      </w:r>
      <w:r w:rsidRPr="003371FC">
        <w:rPr>
          <w:rFonts w:ascii="Times New Roman" w:hAnsi="Times New Roman" w:cs="Times New Roman"/>
          <w:b/>
        </w:rPr>
        <w:t>:</w:t>
      </w:r>
      <w:r>
        <w:rPr>
          <w:rFonts w:ascii="Times New Roman" w:hAnsi="Times New Roman" w:cs="Times New Roman"/>
          <w:b/>
        </w:rPr>
        <w:t xml:space="preserve">  </w:t>
      </w:r>
    </w:p>
    <w:p w14:paraId="3ED68F36" w14:textId="77777777" w:rsidR="00C607FE" w:rsidRPr="00F92708" w:rsidRDefault="00C607FE" w:rsidP="00F52AA6">
      <w:pPr>
        <w:pStyle w:val="NoSpacing"/>
        <w:numPr>
          <w:ilvl w:val="0"/>
          <w:numId w:val="2"/>
        </w:numPr>
        <w:rPr>
          <w:rFonts w:ascii="Times New Roman" w:hAnsi="Times New Roman" w:cs="Times New Roman"/>
        </w:rPr>
      </w:pPr>
      <w:r w:rsidRPr="00F92708">
        <w:rPr>
          <w:rFonts w:ascii="Times New Roman" w:hAnsi="Times New Roman" w:cs="Times New Roman"/>
        </w:rPr>
        <w:t>Due Diligence Monitoring: Quarterly in accordance with calendar below</w:t>
      </w:r>
    </w:p>
    <w:p w14:paraId="4840D09A" w14:textId="5E1134B7" w:rsidR="00C607FE" w:rsidRPr="00F92708" w:rsidRDefault="006B2C45" w:rsidP="00F52AA6">
      <w:pPr>
        <w:pStyle w:val="NoSpacing"/>
        <w:numPr>
          <w:ilvl w:val="0"/>
          <w:numId w:val="2"/>
        </w:numPr>
        <w:rPr>
          <w:rFonts w:ascii="Times New Roman" w:hAnsi="Times New Roman" w:cs="Times New Roman"/>
        </w:rPr>
      </w:pPr>
      <w:r>
        <w:rPr>
          <w:rFonts w:ascii="Times New Roman" w:hAnsi="Times New Roman" w:cs="Times New Roman"/>
        </w:rPr>
        <w:t>Listing of Property to Report to State</w:t>
      </w:r>
      <w:r w:rsidR="00C607FE" w:rsidRPr="00F92708">
        <w:rPr>
          <w:rFonts w:ascii="Times New Roman" w:hAnsi="Times New Roman" w:cs="Times New Roman"/>
        </w:rPr>
        <w:t xml:space="preserve">: </w:t>
      </w:r>
      <w:r w:rsidR="00B106F0">
        <w:rPr>
          <w:rFonts w:ascii="Times New Roman" w:hAnsi="Times New Roman" w:cs="Times New Roman"/>
        </w:rPr>
        <w:t>Two weeks following request</w:t>
      </w:r>
      <w:r>
        <w:rPr>
          <w:rFonts w:ascii="Times New Roman" w:hAnsi="Times New Roman" w:cs="Times New Roman"/>
        </w:rPr>
        <w:t xml:space="preserve"> by </w:t>
      </w:r>
      <w:r w:rsidR="00470276">
        <w:rPr>
          <w:rFonts w:ascii="Times New Roman" w:hAnsi="Times New Roman" w:cs="Times New Roman"/>
        </w:rPr>
        <w:t>Corporate Tax, Compliance &amp; Payroll</w:t>
      </w:r>
    </w:p>
    <w:p w14:paraId="798F7072" w14:textId="77777777" w:rsidR="00C607FE" w:rsidRPr="0015381A" w:rsidRDefault="00C607FE" w:rsidP="00F52AA6">
      <w:pPr>
        <w:pStyle w:val="NoSpacing"/>
        <w:numPr>
          <w:ilvl w:val="0"/>
          <w:numId w:val="2"/>
        </w:numPr>
        <w:rPr>
          <w:rFonts w:ascii="Times New Roman" w:hAnsi="Times New Roman" w:cs="Times New Roman"/>
        </w:rPr>
      </w:pPr>
      <w:r>
        <w:rPr>
          <w:rFonts w:ascii="Times New Roman" w:hAnsi="Times New Roman" w:cs="Times New Roman"/>
        </w:rPr>
        <w:t>Yearly Due Diligence Certification</w:t>
      </w:r>
      <w:r w:rsidR="00B106F0">
        <w:rPr>
          <w:rFonts w:ascii="Times New Roman" w:hAnsi="Times New Roman" w:cs="Times New Roman"/>
        </w:rPr>
        <w:t>:</w:t>
      </w:r>
      <w:r>
        <w:rPr>
          <w:rFonts w:ascii="Times New Roman" w:hAnsi="Times New Roman" w:cs="Times New Roman"/>
        </w:rPr>
        <w:t xml:space="preserve"> January 31st of each year </w:t>
      </w:r>
    </w:p>
    <w:p w14:paraId="0ED9B0B7" w14:textId="77777777" w:rsidR="00C607FE" w:rsidRPr="005F1531" w:rsidRDefault="00C607FE" w:rsidP="00CD5834">
      <w:pPr>
        <w:pStyle w:val="NoSpacing"/>
        <w:rPr>
          <w:rFonts w:ascii="Times New Roman" w:hAnsi="Times New Roman" w:cs="Times New Roman"/>
        </w:rPr>
      </w:pPr>
    </w:p>
    <w:p w14:paraId="505D1427" w14:textId="77777777" w:rsidR="00A92DA4" w:rsidRDefault="00A92DA4" w:rsidP="00CD5834">
      <w:pPr>
        <w:pStyle w:val="NoSpacing"/>
        <w:rPr>
          <w:rFonts w:ascii="Times New Roman" w:hAnsi="Times New Roman" w:cs="Times New Roman"/>
          <w:b/>
        </w:rPr>
      </w:pPr>
      <w:r>
        <w:rPr>
          <w:rFonts w:ascii="Times New Roman" w:hAnsi="Times New Roman" w:cs="Times New Roman"/>
          <w:b/>
        </w:rPr>
        <w:t>Background:</w:t>
      </w:r>
    </w:p>
    <w:p w14:paraId="1DDAF470" w14:textId="77777777" w:rsidR="00A92DA4" w:rsidRPr="00A92DA4" w:rsidRDefault="00A92DA4" w:rsidP="00CD5834">
      <w:pPr>
        <w:pStyle w:val="NoSpacing"/>
        <w:rPr>
          <w:rFonts w:ascii="Times New Roman" w:hAnsi="Times New Roman" w:cs="Times New Roman"/>
        </w:rPr>
      </w:pPr>
    </w:p>
    <w:p w14:paraId="73E01F1D" w14:textId="77777777" w:rsidR="00CD7C85" w:rsidRDefault="00CD7C85" w:rsidP="00CD7C85">
      <w:pPr>
        <w:pStyle w:val="NoSpacing"/>
        <w:rPr>
          <w:rFonts w:ascii="Times New Roman" w:hAnsi="Times New Roman" w:cs="Times New Roman"/>
        </w:rPr>
      </w:pPr>
      <w:r>
        <w:rPr>
          <w:rFonts w:ascii="Times New Roman" w:hAnsi="Times New Roman" w:cs="Times New Roman"/>
        </w:rPr>
        <w:t>State laws require organizations such as the University of Pennsylvania to report unclaimed property at the end of its dormancy period.  Once it is reported, the state then holds the property until claimed by the rightful owner.</w:t>
      </w:r>
    </w:p>
    <w:p w14:paraId="78167EBD" w14:textId="77777777" w:rsidR="00CD7C85" w:rsidRDefault="00CD7C85" w:rsidP="00CD5834">
      <w:pPr>
        <w:pStyle w:val="NoSpacing"/>
        <w:rPr>
          <w:rFonts w:ascii="Times New Roman" w:hAnsi="Times New Roman" w:cs="Times New Roman"/>
        </w:rPr>
      </w:pPr>
    </w:p>
    <w:p w14:paraId="12090562" w14:textId="2D03D165" w:rsidR="00B906CB" w:rsidRDefault="00E46BD1" w:rsidP="00CD5834">
      <w:pPr>
        <w:pStyle w:val="NoSpacing"/>
        <w:rPr>
          <w:rFonts w:ascii="Times New Roman" w:hAnsi="Times New Roman" w:cs="Times New Roman"/>
        </w:rPr>
      </w:pPr>
      <w:r>
        <w:rPr>
          <w:rFonts w:ascii="Times New Roman" w:hAnsi="Times New Roman" w:cs="Times New Roman"/>
        </w:rPr>
        <w:t>Accounts receivable</w:t>
      </w:r>
      <w:r w:rsidR="00A57412">
        <w:rPr>
          <w:rFonts w:ascii="Times New Roman" w:hAnsi="Times New Roman" w:cs="Times New Roman"/>
        </w:rPr>
        <w:t xml:space="preserve"> (A/R)</w:t>
      </w:r>
      <w:r>
        <w:rPr>
          <w:rFonts w:ascii="Times New Roman" w:hAnsi="Times New Roman" w:cs="Times New Roman"/>
        </w:rPr>
        <w:t xml:space="preserve"> credits occur when a patient/client overpays on their </w:t>
      </w:r>
      <w:r w:rsidR="001D395C">
        <w:rPr>
          <w:rFonts w:ascii="Times New Roman" w:hAnsi="Times New Roman" w:cs="Times New Roman"/>
        </w:rPr>
        <w:t xml:space="preserve">account </w:t>
      </w:r>
      <w:r>
        <w:rPr>
          <w:rFonts w:ascii="Times New Roman" w:hAnsi="Times New Roman" w:cs="Times New Roman"/>
        </w:rPr>
        <w:t>or prepays for services to be rendered.</w:t>
      </w:r>
      <w:r w:rsidR="00383AE2">
        <w:rPr>
          <w:rFonts w:ascii="Times New Roman" w:hAnsi="Times New Roman" w:cs="Times New Roman"/>
        </w:rPr>
        <w:t xml:space="preserve">  </w:t>
      </w:r>
      <w:r w:rsidR="00EF48FF">
        <w:rPr>
          <w:rFonts w:ascii="Times New Roman" w:hAnsi="Times New Roman" w:cs="Times New Roman"/>
        </w:rPr>
        <w:t>Each school/center should</w:t>
      </w:r>
      <w:r w:rsidR="00A65CE6">
        <w:rPr>
          <w:rFonts w:ascii="Times New Roman" w:hAnsi="Times New Roman" w:cs="Times New Roman"/>
        </w:rPr>
        <w:t xml:space="preserve"> have procedures </w:t>
      </w:r>
      <w:r w:rsidR="00F373C7">
        <w:rPr>
          <w:rFonts w:ascii="Times New Roman" w:hAnsi="Times New Roman" w:cs="Times New Roman"/>
        </w:rPr>
        <w:t xml:space="preserve">documenting </w:t>
      </w:r>
      <w:r w:rsidR="00A65CE6">
        <w:rPr>
          <w:rFonts w:ascii="Times New Roman" w:hAnsi="Times New Roman" w:cs="Times New Roman"/>
        </w:rPr>
        <w:t xml:space="preserve">how to </w:t>
      </w:r>
      <w:r w:rsidR="001D395C">
        <w:rPr>
          <w:rFonts w:ascii="Times New Roman" w:hAnsi="Times New Roman" w:cs="Times New Roman"/>
        </w:rPr>
        <w:t xml:space="preserve">monitor and address its </w:t>
      </w:r>
      <w:r w:rsidR="00A65CE6">
        <w:rPr>
          <w:rFonts w:ascii="Times New Roman" w:hAnsi="Times New Roman" w:cs="Times New Roman"/>
        </w:rPr>
        <w:t>A/R credits, including who is responsible for reviewing the A/R credits, how often they are reviewed, and how</w:t>
      </w:r>
      <w:r w:rsidR="001C0B0F">
        <w:rPr>
          <w:rFonts w:ascii="Times New Roman" w:hAnsi="Times New Roman" w:cs="Times New Roman"/>
        </w:rPr>
        <w:t xml:space="preserve"> to perform due diligence on the A/R credit.  Due diligence refers to the reasonable effort that is made to reunite the unclaimed property, in this case the A/R </w:t>
      </w:r>
      <w:r w:rsidR="001A2B07">
        <w:rPr>
          <w:rFonts w:ascii="Times New Roman" w:hAnsi="Times New Roman" w:cs="Times New Roman"/>
        </w:rPr>
        <w:t>credit, with</w:t>
      </w:r>
      <w:r w:rsidR="001C0B0F">
        <w:rPr>
          <w:rFonts w:ascii="Times New Roman" w:hAnsi="Times New Roman" w:cs="Times New Roman"/>
        </w:rPr>
        <w:t xml:space="preserve"> its owner, in this case, the patient or client</w:t>
      </w:r>
      <w:r w:rsidR="00511964">
        <w:rPr>
          <w:rFonts w:ascii="Times New Roman" w:hAnsi="Times New Roman" w:cs="Times New Roman"/>
        </w:rPr>
        <w:t>.</w:t>
      </w:r>
    </w:p>
    <w:p w14:paraId="7F2049A7" w14:textId="77777777" w:rsidR="00B906CB" w:rsidRDefault="00B906CB" w:rsidP="00CD5834">
      <w:pPr>
        <w:pStyle w:val="NoSpacing"/>
        <w:rPr>
          <w:rFonts w:ascii="Times New Roman" w:hAnsi="Times New Roman" w:cs="Times New Roman"/>
        </w:rPr>
      </w:pPr>
    </w:p>
    <w:p w14:paraId="14B68FB2" w14:textId="77777777" w:rsidR="00C57F43" w:rsidRDefault="00C57F43" w:rsidP="00CD5834">
      <w:pPr>
        <w:pStyle w:val="NoSpacing"/>
        <w:rPr>
          <w:rFonts w:ascii="Times New Roman" w:hAnsi="Times New Roman" w:cs="Times New Roman"/>
        </w:rPr>
      </w:pPr>
    </w:p>
    <w:p w14:paraId="3AB3553D" w14:textId="77777777" w:rsidR="00CD5834" w:rsidRPr="00CD5834" w:rsidRDefault="008D704E" w:rsidP="00CD5834">
      <w:pPr>
        <w:pStyle w:val="NoSpacing"/>
        <w:rPr>
          <w:rFonts w:ascii="Times New Roman" w:hAnsi="Times New Roman" w:cs="Times New Roman"/>
          <w:b/>
        </w:rPr>
      </w:pPr>
      <w:r>
        <w:rPr>
          <w:rFonts w:ascii="Times New Roman" w:hAnsi="Times New Roman" w:cs="Times New Roman"/>
          <w:b/>
        </w:rPr>
        <w:t>Responsibility</w:t>
      </w:r>
    </w:p>
    <w:p w14:paraId="0CD9DA22" w14:textId="77777777" w:rsidR="00A376FC" w:rsidRDefault="00A376FC" w:rsidP="00CD5834">
      <w:pPr>
        <w:pStyle w:val="NoSpacing"/>
        <w:rPr>
          <w:rFonts w:ascii="Times New Roman" w:hAnsi="Times New Roman" w:cs="Times New Roman"/>
          <w:i/>
        </w:rPr>
      </w:pPr>
    </w:p>
    <w:p w14:paraId="1C91FD15" w14:textId="77777777" w:rsidR="00CD5834" w:rsidRPr="00CD5834" w:rsidRDefault="00CD5834" w:rsidP="00CD5834">
      <w:pPr>
        <w:pStyle w:val="NoSpacing"/>
        <w:rPr>
          <w:rFonts w:ascii="Times New Roman" w:hAnsi="Times New Roman" w:cs="Times New Roman"/>
          <w:i/>
        </w:rPr>
      </w:pPr>
      <w:r w:rsidRPr="00CD5834">
        <w:rPr>
          <w:rFonts w:ascii="Times New Roman" w:hAnsi="Times New Roman" w:cs="Times New Roman"/>
          <w:i/>
        </w:rPr>
        <w:t>Schools/Centers</w:t>
      </w:r>
    </w:p>
    <w:p w14:paraId="27A6C0FC" w14:textId="488AE5B5" w:rsidR="009F1031" w:rsidRDefault="00CD5834" w:rsidP="00CD5834">
      <w:pPr>
        <w:pStyle w:val="NoSpacing"/>
        <w:rPr>
          <w:rFonts w:ascii="Times New Roman" w:hAnsi="Times New Roman" w:cs="Times New Roman"/>
        </w:rPr>
      </w:pPr>
      <w:r>
        <w:rPr>
          <w:rFonts w:ascii="Times New Roman" w:hAnsi="Times New Roman" w:cs="Times New Roman"/>
        </w:rPr>
        <w:t xml:space="preserve">Schools and Centers have the responsibility </w:t>
      </w:r>
      <w:r w:rsidR="00D228CE">
        <w:rPr>
          <w:rFonts w:ascii="Times New Roman" w:hAnsi="Times New Roman" w:cs="Times New Roman"/>
        </w:rPr>
        <w:t>for</w:t>
      </w:r>
      <w:r w:rsidR="004F671F">
        <w:rPr>
          <w:rFonts w:ascii="Times New Roman" w:hAnsi="Times New Roman" w:cs="Times New Roman"/>
        </w:rPr>
        <w:t xml:space="preserve"> developing and documenting procedures for</w:t>
      </w:r>
      <w:r w:rsidR="00D228CE">
        <w:rPr>
          <w:rFonts w:ascii="Times New Roman" w:hAnsi="Times New Roman" w:cs="Times New Roman"/>
        </w:rPr>
        <w:t xml:space="preserve"> reviewing</w:t>
      </w:r>
      <w:r w:rsidR="00B906CB">
        <w:rPr>
          <w:rFonts w:ascii="Times New Roman" w:hAnsi="Times New Roman" w:cs="Times New Roman"/>
        </w:rPr>
        <w:t xml:space="preserve"> and </w:t>
      </w:r>
      <w:r w:rsidR="00511964">
        <w:rPr>
          <w:rFonts w:ascii="Times New Roman" w:hAnsi="Times New Roman" w:cs="Times New Roman"/>
        </w:rPr>
        <w:t xml:space="preserve">performing due diligence on </w:t>
      </w:r>
      <w:r w:rsidR="004C110B">
        <w:rPr>
          <w:rFonts w:ascii="Times New Roman" w:hAnsi="Times New Roman" w:cs="Times New Roman"/>
        </w:rPr>
        <w:t>A/R credits</w:t>
      </w:r>
      <w:r w:rsidR="004F671F">
        <w:rPr>
          <w:rFonts w:ascii="Times New Roman" w:hAnsi="Times New Roman" w:cs="Times New Roman"/>
        </w:rPr>
        <w:t xml:space="preserve">.  They are also responsible for refunding any unclaimed credits to the original patient/client.  If it is unable to refund the credit, the school/center is responsible for reporting the credit to </w:t>
      </w:r>
      <w:r w:rsidR="00470276">
        <w:rPr>
          <w:rFonts w:ascii="Times New Roman" w:hAnsi="Times New Roman" w:cs="Times New Roman"/>
        </w:rPr>
        <w:t>Corporate Tax, Compliance &amp; Payroll</w:t>
      </w:r>
      <w:r w:rsidR="00511964">
        <w:rPr>
          <w:rFonts w:ascii="Times New Roman" w:hAnsi="Times New Roman" w:cs="Times New Roman"/>
        </w:rPr>
        <w:t>,</w:t>
      </w:r>
      <w:r w:rsidR="004F671F">
        <w:rPr>
          <w:rFonts w:ascii="Times New Roman" w:hAnsi="Times New Roman" w:cs="Times New Roman"/>
        </w:rPr>
        <w:t xml:space="preserve"> for subsequent reporting of unclaimed property to the appropriate state.  The school/center is also responsible for certifying annually to </w:t>
      </w:r>
      <w:r w:rsidR="00470276">
        <w:rPr>
          <w:rFonts w:ascii="Times New Roman" w:hAnsi="Times New Roman" w:cs="Times New Roman"/>
        </w:rPr>
        <w:t>Corporate Tax, Compliance &amp; Payroll</w:t>
      </w:r>
      <w:r w:rsidR="00511964">
        <w:rPr>
          <w:rFonts w:ascii="Times New Roman" w:hAnsi="Times New Roman" w:cs="Times New Roman"/>
        </w:rPr>
        <w:t>,</w:t>
      </w:r>
      <w:r w:rsidR="004F671F">
        <w:rPr>
          <w:rFonts w:ascii="Times New Roman" w:hAnsi="Times New Roman" w:cs="Times New Roman"/>
        </w:rPr>
        <w:t xml:space="preserve"> that it has procedures in place for monitoring and reporting unclaimed A/R credits and that it has followed those procedures and refunded or reported any unclaimed A/R credits as required.  </w:t>
      </w:r>
    </w:p>
    <w:p w14:paraId="4346396C" w14:textId="77777777" w:rsidR="006C3FD0" w:rsidRDefault="006C3FD0" w:rsidP="00CD5834">
      <w:pPr>
        <w:pStyle w:val="NoSpacing"/>
        <w:rPr>
          <w:rFonts w:ascii="Times New Roman" w:hAnsi="Times New Roman" w:cs="Times New Roman"/>
        </w:rPr>
      </w:pPr>
    </w:p>
    <w:p w14:paraId="7815AEB6" w14:textId="77777777" w:rsidR="00CD5834" w:rsidRPr="008D704E" w:rsidRDefault="00CD5834" w:rsidP="00CD5834">
      <w:pPr>
        <w:pStyle w:val="NoSpacing"/>
        <w:rPr>
          <w:rFonts w:ascii="Times New Roman" w:hAnsi="Times New Roman" w:cs="Times New Roman"/>
          <w:i/>
        </w:rPr>
      </w:pPr>
      <w:r w:rsidRPr="008D704E">
        <w:rPr>
          <w:rFonts w:ascii="Times New Roman" w:hAnsi="Times New Roman" w:cs="Times New Roman"/>
          <w:i/>
        </w:rPr>
        <w:t>Comptroller’s Office</w:t>
      </w:r>
    </w:p>
    <w:p w14:paraId="72DC6B15" w14:textId="454A5D89" w:rsidR="00CD5834" w:rsidRPr="00B106F0" w:rsidRDefault="00470276" w:rsidP="00CD5834">
      <w:pPr>
        <w:pStyle w:val="NoSpacing"/>
        <w:rPr>
          <w:rFonts w:ascii="Times New Roman" w:hAnsi="Times New Roman" w:cs="Times New Roman"/>
          <w:u w:val="single"/>
        </w:rPr>
      </w:pPr>
      <w:r>
        <w:rPr>
          <w:rFonts w:ascii="Times New Roman" w:hAnsi="Times New Roman" w:cs="Times New Roman"/>
          <w:u w:val="single"/>
        </w:rPr>
        <w:t>Corporate Tax, Compliance &amp; Payroll</w:t>
      </w:r>
    </w:p>
    <w:p w14:paraId="0D050549" w14:textId="6535CEC9" w:rsidR="008D704E" w:rsidRDefault="00470276" w:rsidP="00CD5834">
      <w:pPr>
        <w:pStyle w:val="NoSpacing"/>
        <w:rPr>
          <w:rFonts w:ascii="Times New Roman" w:hAnsi="Times New Roman" w:cs="Times New Roman"/>
        </w:rPr>
      </w:pPr>
      <w:r>
        <w:rPr>
          <w:rFonts w:ascii="Times New Roman" w:hAnsi="Times New Roman" w:cs="Times New Roman"/>
        </w:rPr>
        <w:t>Corporate Tax, Compliance &amp; Payroll</w:t>
      </w:r>
      <w:r w:rsidR="00922117">
        <w:rPr>
          <w:rFonts w:ascii="Times New Roman" w:hAnsi="Times New Roman" w:cs="Times New Roman"/>
        </w:rPr>
        <w:t xml:space="preserve"> </w:t>
      </w:r>
      <w:r w:rsidR="00CD5834">
        <w:rPr>
          <w:rFonts w:ascii="Times New Roman" w:hAnsi="Times New Roman" w:cs="Times New Roman"/>
        </w:rPr>
        <w:t xml:space="preserve">is </w:t>
      </w:r>
      <w:r w:rsidR="00D82DB9">
        <w:rPr>
          <w:rFonts w:ascii="Times New Roman" w:hAnsi="Times New Roman" w:cs="Times New Roman"/>
        </w:rPr>
        <w:t>responsible</w:t>
      </w:r>
      <w:r w:rsidR="00CD5834">
        <w:rPr>
          <w:rFonts w:ascii="Times New Roman" w:hAnsi="Times New Roman" w:cs="Times New Roman"/>
        </w:rPr>
        <w:t xml:space="preserve"> for </w:t>
      </w:r>
      <w:r w:rsidR="000538B9">
        <w:rPr>
          <w:rFonts w:ascii="Times New Roman" w:hAnsi="Times New Roman" w:cs="Times New Roman"/>
        </w:rPr>
        <w:t xml:space="preserve">managing </w:t>
      </w:r>
      <w:r w:rsidR="00CD5834">
        <w:rPr>
          <w:rFonts w:ascii="Times New Roman" w:hAnsi="Times New Roman" w:cs="Times New Roman"/>
        </w:rPr>
        <w:t>the annual reporting of unclaimed property</w:t>
      </w:r>
      <w:r w:rsidR="0052205E">
        <w:rPr>
          <w:rFonts w:ascii="Times New Roman" w:hAnsi="Times New Roman" w:cs="Times New Roman"/>
        </w:rPr>
        <w:t xml:space="preserve"> on behalf of the schools and centers</w:t>
      </w:r>
      <w:r w:rsidR="00CD5834">
        <w:rPr>
          <w:rFonts w:ascii="Times New Roman" w:hAnsi="Times New Roman" w:cs="Times New Roman"/>
        </w:rPr>
        <w:t>.  As such, it has oversight responsibility for ensuring that due diligence efforts are performed to reunite unclaimed property with its owner.</w:t>
      </w:r>
      <w:r w:rsidR="008D704E">
        <w:rPr>
          <w:rFonts w:ascii="Times New Roman" w:hAnsi="Times New Roman" w:cs="Times New Roman"/>
        </w:rPr>
        <w:t xml:space="preserve">  </w:t>
      </w:r>
    </w:p>
    <w:p w14:paraId="14A8705A" w14:textId="77777777" w:rsidR="004C110B" w:rsidRDefault="004C110B" w:rsidP="00CD5834">
      <w:pPr>
        <w:pStyle w:val="NoSpacing"/>
        <w:rPr>
          <w:rFonts w:ascii="Times New Roman" w:hAnsi="Times New Roman" w:cs="Times New Roman"/>
        </w:rPr>
      </w:pPr>
    </w:p>
    <w:p w14:paraId="1CEAF454" w14:textId="77777777" w:rsidR="0073524B" w:rsidRPr="00CD7C85" w:rsidRDefault="0073524B" w:rsidP="0073524B">
      <w:pPr>
        <w:pStyle w:val="NoSpacing"/>
        <w:rPr>
          <w:rFonts w:ascii="Times New Roman" w:hAnsi="Times New Roman" w:cs="Times New Roman"/>
          <w:u w:val="single"/>
        </w:rPr>
      </w:pPr>
      <w:r w:rsidRPr="00CD7C85">
        <w:rPr>
          <w:rFonts w:ascii="Times New Roman" w:hAnsi="Times New Roman" w:cs="Times New Roman"/>
          <w:u w:val="single"/>
        </w:rPr>
        <w:t>Accounts Payable</w:t>
      </w:r>
    </w:p>
    <w:p w14:paraId="7CAC06DD" w14:textId="77777777" w:rsidR="008D704E" w:rsidRDefault="0073524B" w:rsidP="0073524B">
      <w:pPr>
        <w:pStyle w:val="NoSpacing"/>
        <w:rPr>
          <w:rFonts w:ascii="Times New Roman" w:hAnsi="Times New Roman" w:cs="Times New Roman"/>
        </w:rPr>
      </w:pPr>
      <w:r>
        <w:rPr>
          <w:rFonts w:ascii="Times New Roman" w:hAnsi="Times New Roman" w:cs="Times New Roman"/>
        </w:rPr>
        <w:t xml:space="preserve">Accounts Payable is responsible for issuing the </w:t>
      </w:r>
      <w:r w:rsidR="00922117">
        <w:rPr>
          <w:rFonts w:ascii="Times New Roman" w:hAnsi="Times New Roman" w:cs="Times New Roman"/>
        </w:rPr>
        <w:t xml:space="preserve">refund </w:t>
      </w:r>
      <w:r>
        <w:rPr>
          <w:rFonts w:ascii="Times New Roman" w:hAnsi="Times New Roman" w:cs="Times New Roman"/>
        </w:rPr>
        <w:t xml:space="preserve">checks </w:t>
      </w:r>
      <w:r w:rsidR="00922117">
        <w:rPr>
          <w:rFonts w:ascii="Times New Roman" w:hAnsi="Times New Roman" w:cs="Times New Roman"/>
        </w:rPr>
        <w:t xml:space="preserve">for A/R credits </w:t>
      </w:r>
      <w:r>
        <w:rPr>
          <w:rFonts w:ascii="Times New Roman" w:hAnsi="Times New Roman" w:cs="Times New Roman"/>
        </w:rPr>
        <w:t>at the request of appropriate personnel.</w:t>
      </w:r>
    </w:p>
    <w:p w14:paraId="6E905002" w14:textId="77777777" w:rsidR="008D704E" w:rsidRDefault="008D704E" w:rsidP="00CD5834">
      <w:pPr>
        <w:pStyle w:val="NoSpacing"/>
        <w:rPr>
          <w:rFonts w:ascii="Times New Roman" w:hAnsi="Times New Roman" w:cs="Times New Roman"/>
        </w:rPr>
      </w:pPr>
    </w:p>
    <w:p w14:paraId="315A4328" w14:textId="77777777" w:rsidR="008D704E" w:rsidRDefault="008D704E" w:rsidP="00CD5834">
      <w:pPr>
        <w:pStyle w:val="NoSpacing"/>
        <w:rPr>
          <w:rFonts w:ascii="Times New Roman" w:hAnsi="Times New Roman" w:cs="Times New Roman"/>
          <w:b/>
        </w:rPr>
      </w:pPr>
      <w:r w:rsidRPr="008D704E">
        <w:rPr>
          <w:rFonts w:ascii="Times New Roman" w:hAnsi="Times New Roman" w:cs="Times New Roman"/>
          <w:b/>
        </w:rPr>
        <w:t>Procedures</w:t>
      </w:r>
    </w:p>
    <w:p w14:paraId="6ECF14B1" w14:textId="77777777" w:rsidR="00A376FC" w:rsidRPr="008D704E" w:rsidRDefault="00A376FC" w:rsidP="00CD5834">
      <w:pPr>
        <w:pStyle w:val="NoSpacing"/>
        <w:rPr>
          <w:rFonts w:ascii="Times New Roman" w:hAnsi="Times New Roman" w:cs="Times New Roman"/>
          <w:b/>
        </w:rPr>
      </w:pPr>
    </w:p>
    <w:p w14:paraId="1959CF3A" w14:textId="77777777" w:rsidR="007E400B" w:rsidRPr="00F50795" w:rsidRDefault="007E400B" w:rsidP="007E400B">
      <w:pPr>
        <w:pStyle w:val="NoSpacing"/>
        <w:numPr>
          <w:ilvl w:val="0"/>
          <w:numId w:val="1"/>
        </w:numPr>
        <w:rPr>
          <w:rFonts w:ascii="Times New Roman" w:hAnsi="Times New Roman" w:cs="Times New Roman"/>
        </w:rPr>
      </w:pPr>
      <w:r>
        <w:rPr>
          <w:rFonts w:ascii="Times New Roman" w:hAnsi="Times New Roman" w:cs="Times New Roman"/>
        </w:rPr>
        <w:t xml:space="preserve">On a </w:t>
      </w:r>
      <w:r w:rsidR="004F671F">
        <w:rPr>
          <w:rFonts w:ascii="Times New Roman" w:hAnsi="Times New Roman" w:cs="Times New Roman"/>
        </w:rPr>
        <w:t>period</w:t>
      </w:r>
      <w:r w:rsidR="001C0B0F">
        <w:rPr>
          <w:rFonts w:ascii="Times New Roman" w:hAnsi="Times New Roman" w:cs="Times New Roman"/>
        </w:rPr>
        <w:t>ic</w:t>
      </w:r>
      <w:r w:rsidR="004F671F">
        <w:rPr>
          <w:rFonts w:ascii="Times New Roman" w:hAnsi="Times New Roman" w:cs="Times New Roman"/>
        </w:rPr>
        <w:t xml:space="preserve"> basis, but no less than </w:t>
      </w:r>
      <w:r w:rsidR="004C110B">
        <w:rPr>
          <w:rFonts w:ascii="Times New Roman" w:hAnsi="Times New Roman" w:cs="Times New Roman"/>
        </w:rPr>
        <w:t>quarterly</w:t>
      </w:r>
      <w:r w:rsidR="004F671F">
        <w:rPr>
          <w:rFonts w:ascii="Times New Roman" w:hAnsi="Times New Roman" w:cs="Times New Roman"/>
        </w:rPr>
        <w:t>,</w:t>
      </w:r>
      <w:r w:rsidR="004C110B">
        <w:rPr>
          <w:rFonts w:ascii="Times New Roman" w:hAnsi="Times New Roman" w:cs="Times New Roman"/>
        </w:rPr>
        <w:t xml:space="preserve"> </w:t>
      </w:r>
      <w:r>
        <w:rPr>
          <w:rFonts w:ascii="Times New Roman" w:hAnsi="Times New Roman" w:cs="Times New Roman"/>
        </w:rPr>
        <w:t>the S</w:t>
      </w:r>
      <w:r w:rsidR="00AC7C10">
        <w:rPr>
          <w:rFonts w:ascii="Times New Roman" w:hAnsi="Times New Roman" w:cs="Times New Roman"/>
        </w:rPr>
        <w:t xml:space="preserve">chool/Center should </w:t>
      </w:r>
      <w:r w:rsidR="004C110B">
        <w:rPr>
          <w:rFonts w:ascii="Times New Roman" w:hAnsi="Times New Roman" w:cs="Times New Roman"/>
        </w:rPr>
        <w:t xml:space="preserve">review </w:t>
      </w:r>
      <w:r w:rsidR="004F671F">
        <w:rPr>
          <w:rFonts w:ascii="Times New Roman" w:hAnsi="Times New Roman" w:cs="Times New Roman"/>
        </w:rPr>
        <w:t xml:space="preserve">its </w:t>
      </w:r>
      <w:r w:rsidR="00D47C9A">
        <w:rPr>
          <w:rFonts w:ascii="Times New Roman" w:hAnsi="Times New Roman" w:cs="Times New Roman"/>
        </w:rPr>
        <w:t xml:space="preserve">A/R to </w:t>
      </w:r>
      <w:r w:rsidR="001C0B0F">
        <w:rPr>
          <w:rFonts w:ascii="Times New Roman" w:hAnsi="Times New Roman" w:cs="Times New Roman"/>
        </w:rPr>
        <w:t xml:space="preserve">identify </w:t>
      </w:r>
      <w:r w:rsidR="00D47C9A">
        <w:rPr>
          <w:rFonts w:ascii="Times New Roman" w:hAnsi="Times New Roman" w:cs="Times New Roman"/>
        </w:rPr>
        <w:t>any credits.</w:t>
      </w:r>
    </w:p>
    <w:p w14:paraId="256FA08A" w14:textId="77777777" w:rsidR="0029603C" w:rsidRDefault="0029603C" w:rsidP="0029603C">
      <w:pPr>
        <w:pStyle w:val="NoSpacing"/>
        <w:ind w:left="360"/>
        <w:rPr>
          <w:rFonts w:ascii="Times New Roman" w:hAnsi="Times New Roman" w:cs="Times New Roman"/>
        </w:rPr>
      </w:pPr>
    </w:p>
    <w:p w14:paraId="466E9803" w14:textId="77777777" w:rsidR="00511964" w:rsidRDefault="00D47C9A" w:rsidP="0029603C">
      <w:pPr>
        <w:pStyle w:val="NoSpacing"/>
        <w:numPr>
          <w:ilvl w:val="0"/>
          <w:numId w:val="1"/>
        </w:numPr>
        <w:rPr>
          <w:rFonts w:ascii="Times New Roman" w:hAnsi="Times New Roman" w:cs="Times New Roman"/>
        </w:rPr>
      </w:pPr>
      <w:r>
        <w:rPr>
          <w:rFonts w:ascii="Times New Roman" w:hAnsi="Times New Roman" w:cs="Times New Roman"/>
        </w:rPr>
        <w:lastRenderedPageBreak/>
        <w:t xml:space="preserve">If the school/center has A/R credit(s), they </w:t>
      </w:r>
      <w:r w:rsidR="001C0B0F">
        <w:rPr>
          <w:rFonts w:ascii="Times New Roman" w:hAnsi="Times New Roman" w:cs="Times New Roman"/>
        </w:rPr>
        <w:t xml:space="preserve">must </w:t>
      </w:r>
      <w:r w:rsidR="00511964">
        <w:rPr>
          <w:rFonts w:ascii="Times New Roman" w:hAnsi="Times New Roman" w:cs="Times New Roman"/>
        </w:rPr>
        <w:t xml:space="preserve">perform due diligence to reunite the abandoned property with its owner in accordance with its </w:t>
      </w:r>
      <w:r>
        <w:rPr>
          <w:rFonts w:ascii="Times New Roman" w:hAnsi="Times New Roman" w:cs="Times New Roman"/>
        </w:rPr>
        <w:t xml:space="preserve">procedures.  </w:t>
      </w:r>
      <w:r w:rsidR="00511964">
        <w:rPr>
          <w:rFonts w:ascii="Times New Roman" w:hAnsi="Times New Roman" w:cs="Times New Roman"/>
        </w:rPr>
        <w:t xml:space="preserve">Due diligence efforts should include reaching out to the patient/client to determine the disposition of the credit, that is whether it should be refunded or applied against future services.  </w:t>
      </w:r>
      <w:r w:rsidR="009F1CCC">
        <w:rPr>
          <w:rFonts w:ascii="Times New Roman" w:hAnsi="Times New Roman" w:cs="Times New Roman"/>
        </w:rPr>
        <w:t xml:space="preserve">A sample due diligence letter is below.  </w:t>
      </w:r>
      <w:r w:rsidR="00511964">
        <w:rPr>
          <w:rFonts w:ascii="Times New Roman" w:hAnsi="Times New Roman" w:cs="Times New Roman"/>
        </w:rPr>
        <w:t>A/R credits on inactive accounts should be refunded to the owner</w:t>
      </w:r>
      <w:r w:rsidR="00F373C7">
        <w:rPr>
          <w:rFonts w:ascii="Times New Roman" w:hAnsi="Times New Roman" w:cs="Times New Roman"/>
        </w:rPr>
        <w:t xml:space="preserve"> in accordance with the school/center’s procedures, but not later than </w:t>
      </w:r>
      <w:r w:rsidR="00922117">
        <w:rPr>
          <w:rFonts w:ascii="Times New Roman" w:hAnsi="Times New Roman" w:cs="Times New Roman"/>
        </w:rPr>
        <w:t xml:space="preserve">two </w:t>
      </w:r>
      <w:r w:rsidR="00F373C7">
        <w:rPr>
          <w:rFonts w:ascii="Times New Roman" w:hAnsi="Times New Roman" w:cs="Times New Roman"/>
        </w:rPr>
        <w:t>years after the account has become inactive</w:t>
      </w:r>
      <w:r w:rsidR="00511964">
        <w:rPr>
          <w:rFonts w:ascii="Times New Roman" w:hAnsi="Times New Roman" w:cs="Times New Roman"/>
        </w:rPr>
        <w:t xml:space="preserve">.   </w:t>
      </w:r>
    </w:p>
    <w:p w14:paraId="1BCA88AE" w14:textId="77777777" w:rsidR="00A376FC" w:rsidRDefault="00A376FC" w:rsidP="00A376FC">
      <w:pPr>
        <w:pStyle w:val="NoSpacing"/>
        <w:rPr>
          <w:rFonts w:ascii="Times New Roman" w:hAnsi="Times New Roman" w:cs="Times New Roman"/>
        </w:rPr>
      </w:pPr>
    </w:p>
    <w:p w14:paraId="43EA29AB" w14:textId="0AB5E96C" w:rsidR="00A376FC" w:rsidRDefault="00511964" w:rsidP="00A376FC">
      <w:pPr>
        <w:pStyle w:val="NoSpacing"/>
        <w:numPr>
          <w:ilvl w:val="0"/>
          <w:numId w:val="1"/>
        </w:numPr>
        <w:rPr>
          <w:rFonts w:ascii="Times New Roman" w:hAnsi="Times New Roman" w:cs="Times New Roman"/>
        </w:rPr>
      </w:pPr>
      <w:r w:rsidRPr="00A376FC">
        <w:rPr>
          <w:rFonts w:ascii="Times New Roman" w:hAnsi="Times New Roman" w:cs="Times New Roman"/>
        </w:rPr>
        <w:t>No A/R credit should be maintained for more than t</w:t>
      </w:r>
      <w:r w:rsidR="00D92414" w:rsidRPr="00A376FC">
        <w:rPr>
          <w:rFonts w:ascii="Times New Roman" w:hAnsi="Times New Roman" w:cs="Times New Roman"/>
        </w:rPr>
        <w:t>wo</w:t>
      </w:r>
      <w:r w:rsidRPr="00A376FC">
        <w:rPr>
          <w:rFonts w:ascii="Times New Roman" w:hAnsi="Times New Roman" w:cs="Times New Roman"/>
        </w:rPr>
        <w:t xml:space="preserve"> years.  Prior to the A/R credit being on the account for this time period, the school/center should make every attempt to refund the overpayment to the patient/client.  If the school/center is unable to issue a refund check, the school/center must report the A/R credit to </w:t>
      </w:r>
      <w:r w:rsidR="00470276">
        <w:rPr>
          <w:rFonts w:ascii="Times New Roman" w:hAnsi="Times New Roman" w:cs="Times New Roman"/>
        </w:rPr>
        <w:t>Corporate Tax, Compliance &amp; Payroll</w:t>
      </w:r>
      <w:r w:rsidR="00973AB7" w:rsidRPr="00A376FC">
        <w:rPr>
          <w:rFonts w:ascii="Times New Roman" w:hAnsi="Times New Roman" w:cs="Times New Roman"/>
        </w:rPr>
        <w:t xml:space="preserve"> </w:t>
      </w:r>
      <w:r w:rsidRPr="00A376FC">
        <w:rPr>
          <w:rFonts w:ascii="Times New Roman" w:hAnsi="Times New Roman" w:cs="Times New Roman"/>
        </w:rPr>
        <w:t>so that it can report the unclaimed property to the appropriate state as required</w:t>
      </w:r>
      <w:r w:rsidR="00922117" w:rsidRPr="00A376FC">
        <w:rPr>
          <w:rFonts w:ascii="Times New Roman" w:hAnsi="Times New Roman" w:cs="Times New Roman"/>
        </w:rPr>
        <w:t xml:space="preserve">. </w:t>
      </w:r>
      <w:r w:rsidRPr="00A376FC">
        <w:rPr>
          <w:rFonts w:ascii="Times New Roman" w:hAnsi="Times New Roman" w:cs="Times New Roman"/>
        </w:rPr>
        <w:t xml:space="preserve"> The information reported to </w:t>
      </w:r>
      <w:r w:rsidR="00470276">
        <w:rPr>
          <w:rFonts w:ascii="Times New Roman" w:hAnsi="Times New Roman" w:cs="Times New Roman"/>
        </w:rPr>
        <w:t>Corporate Tax, Compliance &amp; Payroll</w:t>
      </w:r>
      <w:r w:rsidRPr="00A376FC">
        <w:rPr>
          <w:rFonts w:ascii="Times New Roman" w:hAnsi="Times New Roman" w:cs="Times New Roman"/>
        </w:rPr>
        <w:t xml:space="preserve"> should include the name of the owner (patient/client), the owners address, </w:t>
      </w:r>
      <w:r w:rsidR="00C57F43" w:rsidRPr="00A376FC">
        <w:rPr>
          <w:rFonts w:ascii="Times New Roman" w:hAnsi="Times New Roman" w:cs="Times New Roman"/>
        </w:rPr>
        <w:t xml:space="preserve">the date the credit was received, </w:t>
      </w:r>
      <w:r w:rsidRPr="00A376FC">
        <w:rPr>
          <w:rFonts w:ascii="Times New Roman" w:hAnsi="Times New Roman" w:cs="Times New Roman"/>
        </w:rPr>
        <w:t>the account number and the amount of the credit.</w:t>
      </w:r>
    </w:p>
    <w:p w14:paraId="094D5047" w14:textId="77777777" w:rsidR="00A376FC" w:rsidRDefault="00A376FC" w:rsidP="00A376FC">
      <w:pPr>
        <w:pStyle w:val="ListParagraph"/>
        <w:spacing w:after="0"/>
        <w:rPr>
          <w:rFonts w:ascii="Times New Roman" w:hAnsi="Times New Roman" w:cs="Times New Roman"/>
        </w:rPr>
      </w:pPr>
    </w:p>
    <w:p w14:paraId="760D6E62" w14:textId="4C9AB0D0" w:rsidR="00AF28A1" w:rsidRPr="00A376FC" w:rsidRDefault="00470276" w:rsidP="00A376FC">
      <w:pPr>
        <w:pStyle w:val="NoSpacing"/>
        <w:numPr>
          <w:ilvl w:val="0"/>
          <w:numId w:val="1"/>
        </w:numPr>
        <w:rPr>
          <w:rFonts w:ascii="Times New Roman" w:hAnsi="Times New Roman" w:cs="Times New Roman"/>
        </w:rPr>
      </w:pPr>
      <w:r>
        <w:rPr>
          <w:rFonts w:ascii="Times New Roman" w:hAnsi="Times New Roman" w:cs="Times New Roman"/>
        </w:rPr>
        <w:t>Corporate Tax, Compliance &amp; Payroll</w:t>
      </w:r>
      <w:r w:rsidR="00F373C7" w:rsidRPr="00A376FC">
        <w:rPr>
          <w:rFonts w:ascii="Times New Roman" w:hAnsi="Times New Roman" w:cs="Times New Roman"/>
        </w:rPr>
        <w:t xml:space="preserve"> </w:t>
      </w:r>
      <w:r w:rsidR="00AF28A1" w:rsidRPr="00A376FC">
        <w:rPr>
          <w:rFonts w:ascii="Times New Roman" w:hAnsi="Times New Roman" w:cs="Times New Roman"/>
        </w:rPr>
        <w:t>will report the A/R credits</w:t>
      </w:r>
      <w:r w:rsidR="00F373C7" w:rsidRPr="00A376FC">
        <w:rPr>
          <w:rFonts w:ascii="Times New Roman" w:hAnsi="Times New Roman" w:cs="Times New Roman"/>
        </w:rPr>
        <w:t xml:space="preserve"> as unclaimed or abandoned property</w:t>
      </w:r>
      <w:r w:rsidR="00AF28A1" w:rsidRPr="00A376FC">
        <w:rPr>
          <w:rFonts w:ascii="Times New Roman" w:hAnsi="Times New Roman" w:cs="Times New Roman"/>
        </w:rPr>
        <w:t xml:space="preserve"> to the </w:t>
      </w:r>
      <w:r w:rsidR="00F373C7" w:rsidRPr="00A376FC">
        <w:rPr>
          <w:rFonts w:ascii="Times New Roman" w:hAnsi="Times New Roman" w:cs="Times New Roman"/>
        </w:rPr>
        <w:t>appropriate</w:t>
      </w:r>
      <w:r w:rsidR="00AF28A1" w:rsidRPr="00A376FC">
        <w:rPr>
          <w:rFonts w:ascii="Times New Roman" w:hAnsi="Times New Roman" w:cs="Times New Roman"/>
        </w:rPr>
        <w:t xml:space="preserve"> state </w:t>
      </w:r>
      <w:r w:rsidR="00F373C7" w:rsidRPr="00A376FC">
        <w:rPr>
          <w:rFonts w:ascii="Times New Roman" w:hAnsi="Times New Roman" w:cs="Times New Roman"/>
        </w:rPr>
        <w:t>as required</w:t>
      </w:r>
      <w:r w:rsidR="00AF28A1" w:rsidRPr="00A376FC">
        <w:rPr>
          <w:rFonts w:ascii="Times New Roman" w:hAnsi="Times New Roman" w:cs="Times New Roman"/>
        </w:rPr>
        <w:t>.</w:t>
      </w:r>
    </w:p>
    <w:p w14:paraId="7C50A773" w14:textId="77777777" w:rsidR="00AC7C10" w:rsidRDefault="00AC7C10" w:rsidP="00AC7C10">
      <w:pPr>
        <w:pStyle w:val="NoSpacing"/>
        <w:rPr>
          <w:rFonts w:ascii="Times New Roman" w:hAnsi="Times New Roman" w:cs="Times New Roman"/>
        </w:rPr>
      </w:pPr>
    </w:p>
    <w:p w14:paraId="3D34DEBD" w14:textId="0684D441" w:rsidR="005931BF" w:rsidRDefault="00204BD8" w:rsidP="00A376FC">
      <w:pPr>
        <w:pStyle w:val="NoSpacing"/>
        <w:numPr>
          <w:ilvl w:val="0"/>
          <w:numId w:val="1"/>
        </w:numPr>
        <w:rPr>
          <w:rFonts w:ascii="Times New Roman" w:hAnsi="Times New Roman" w:cs="Times New Roman"/>
        </w:rPr>
      </w:pPr>
      <w:r>
        <w:rPr>
          <w:rFonts w:ascii="Times New Roman" w:hAnsi="Times New Roman" w:cs="Times New Roman"/>
        </w:rPr>
        <w:t xml:space="preserve">On an annual basis </w:t>
      </w:r>
      <w:r w:rsidR="00AF28A1">
        <w:rPr>
          <w:rFonts w:ascii="Times New Roman" w:hAnsi="Times New Roman" w:cs="Times New Roman"/>
        </w:rPr>
        <w:t xml:space="preserve">in January </w:t>
      </w:r>
      <w:r>
        <w:rPr>
          <w:rFonts w:ascii="Times New Roman" w:hAnsi="Times New Roman" w:cs="Times New Roman"/>
        </w:rPr>
        <w:t xml:space="preserve">the </w:t>
      </w:r>
      <w:r w:rsidR="00F373C7">
        <w:rPr>
          <w:rFonts w:ascii="Times New Roman" w:hAnsi="Times New Roman" w:cs="Times New Roman"/>
        </w:rPr>
        <w:t>Senior Business Administrator</w:t>
      </w:r>
      <w:r>
        <w:rPr>
          <w:rFonts w:ascii="Times New Roman" w:hAnsi="Times New Roman" w:cs="Times New Roman"/>
        </w:rPr>
        <w:t xml:space="preserve"> of each School/Center</w:t>
      </w:r>
      <w:r w:rsidR="00F373C7">
        <w:rPr>
          <w:rFonts w:ascii="Times New Roman" w:hAnsi="Times New Roman" w:cs="Times New Roman"/>
        </w:rPr>
        <w:t>,</w:t>
      </w:r>
      <w:r>
        <w:rPr>
          <w:rFonts w:ascii="Times New Roman" w:hAnsi="Times New Roman" w:cs="Times New Roman"/>
        </w:rPr>
        <w:t xml:space="preserve"> </w:t>
      </w:r>
      <w:r w:rsidR="00F373C7">
        <w:rPr>
          <w:rFonts w:ascii="Times New Roman" w:hAnsi="Times New Roman" w:cs="Times New Roman"/>
        </w:rPr>
        <w:t xml:space="preserve">or his/her designated representative, </w:t>
      </w:r>
      <w:r>
        <w:rPr>
          <w:rFonts w:ascii="Times New Roman" w:hAnsi="Times New Roman" w:cs="Times New Roman"/>
        </w:rPr>
        <w:t xml:space="preserve">will </w:t>
      </w:r>
      <w:r w:rsidR="00F373C7">
        <w:rPr>
          <w:rFonts w:ascii="Times New Roman" w:hAnsi="Times New Roman" w:cs="Times New Roman"/>
        </w:rPr>
        <w:t xml:space="preserve">be requested to </w:t>
      </w:r>
      <w:r w:rsidR="00AF28A1">
        <w:rPr>
          <w:rFonts w:ascii="Times New Roman" w:hAnsi="Times New Roman" w:cs="Times New Roman"/>
        </w:rPr>
        <w:t>certify</w:t>
      </w:r>
      <w:r>
        <w:rPr>
          <w:rFonts w:ascii="Times New Roman" w:hAnsi="Times New Roman" w:cs="Times New Roman"/>
        </w:rPr>
        <w:t xml:space="preserve"> that </w:t>
      </w:r>
      <w:r w:rsidR="00F373C7">
        <w:rPr>
          <w:rFonts w:ascii="Times New Roman" w:hAnsi="Times New Roman" w:cs="Times New Roman"/>
        </w:rPr>
        <w:t xml:space="preserve">the school/center </w:t>
      </w:r>
      <w:r w:rsidR="00AF28A1">
        <w:rPr>
          <w:rFonts w:ascii="Times New Roman" w:hAnsi="Times New Roman" w:cs="Times New Roman"/>
        </w:rPr>
        <w:t>ha</w:t>
      </w:r>
      <w:r w:rsidR="00F373C7">
        <w:rPr>
          <w:rFonts w:ascii="Times New Roman" w:hAnsi="Times New Roman" w:cs="Times New Roman"/>
        </w:rPr>
        <w:t>s procedures in place to review and perform due diligence on credit A/R balances, that i</w:t>
      </w:r>
      <w:r w:rsidR="000538B9">
        <w:rPr>
          <w:rFonts w:ascii="Times New Roman" w:hAnsi="Times New Roman" w:cs="Times New Roman"/>
        </w:rPr>
        <w:t>t</w:t>
      </w:r>
      <w:r w:rsidR="00F373C7">
        <w:rPr>
          <w:rFonts w:ascii="Times New Roman" w:hAnsi="Times New Roman" w:cs="Times New Roman"/>
        </w:rPr>
        <w:t xml:space="preserve"> has</w:t>
      </w:r>
      <w:r w:rsidR="00AF28A1">
        <w:rPr>
          <w:rFonts w:ascii="Times New Roman" w:hAnsi="Times New Roman" w:cs="Times New Roman"/>
        </w:rPr>
        <w:t xml:space="preserve"> reviewed </w:t>
      </w:r>
      <w:r w:rsidR="00F373C7">
        <w:rPr>
          <w:rFonts w:ascii="Times New Roman" w:hAnsi="Times New Roman" w:cs="Times New Roman"/>
        </w:rPr>
        <w:t xml:space="preserve">its </w:t>
      </w:r>
      <w:r w:rsidR="00AF28A1">
        <w:rPr>
          <w:rFonts w:ascii="Times New Roman" w:hAnsi="Times New Roman" w:cs="Times New Roman"/>
        </w:rPr>
        <w:t>A/R credits</w:t>
      </w:r>
      <w:r>
        <w:rPr>
          <w:rFonts w:ascii="Times New Roman" w:hAnsi="Times New Roman" w:cs="Times New Roman"/>
        </w:rPr>
        <w:t xml:space="preserve"> in accordance with </w:t>
      </w:r>
      <w:r w:rsidR="00F373C7">
        <w:rPr>
          <w:rFonts w:ascii="Times New Roman" w:hAnsi="Times New Roman" w:cs="Times New Roman"/>
        </w:rPr>
        <w:t xml:space="preserve">its </w:t>
      </w:r>
      <w:r w:rsidR="00AF28A1">
        <w:rPr>
          <w:rFonts w:ascii="Times New Roman" w:hAnsi="Times New Roman" w:cs="Times New Roman"/>
        </w:rPr>
        <w:t>procedures</w:t>
      </w:r>
      <w:r w:rsidR="00F373C7">
        <w:rPr>
          <w:rFonts w:ascii="Times New Roman" w:hAnsi="Times New Roman" w:cs="Times New Roman"/>
        </w:rPr>
        <w:t xml:space="preserve">, that it has performed due diligence on such A/R credits to reunite the unclaimed property with its owner; </w:t>
      </w:r>
      <w:r w:rsidR="00AF28A1">
        <w:rPr>
          <w:rFonts w:ascii="Times New Roman" w:hAnsi="Times New Roman" w:cs="Times New Roman"/>
        </w:rPr>
        <w:t xml:space="preserve"> and whether or not </w:t>
      </w:r>
      <w:r w:rsidR="00F373C7">
        <w:rPr>
          <w:rFonts w:ascii="Times New Roman" w:hAnsi="Times New Roman" w:cs="Times New Roman"/>
        </w:rPr>
        <w:t>it has any unrefunded</w:t>
      </w:r>
      <w:r w:rsidR="00AF28A1">
        <w:rPr>
          <w:rFonts w:ascii="Times New Roman" w:hAnsi="Times New Roman" w:cs="Times New Roman"/>
        </w:rPr>
        <w:t xml:space="preserve"> A/R credits older than </w:t>
      </w:r>
      <w:r w:rsidR="00922117">
        <w:rPr>
          <w:rFonts w:ascii="Times New Roman" w:hAnsi="Times New Roman" w:cs="Times New Roman"/>
        </w:rPr>
        <w:t xml:space="preserve">two </w:t>
      </w:r>
      <w:r w:rsidR="00AF28A1">
        <w:rPr>
          <w:rFonts w:ascii="Times New Roman" w:hAnsi="Times New Roman" w:cs="Times New Roman"/>
        </w:rPr>
        <w:t>years.</w:t>
      </w:r>
    </w:p>
    <w:p w14:paraId="3051CB28" w14:textId="77777777" w:rsidR="002B244F" w:rsidRDefault="002B244F" w:rsidP="00A376FC">
      <w:pPr>
        <w:pStyle w:val="ListParagraph"/>
        <w:spacing w:after="0"/>
        <w:rPr>
          <w:rFonts w:ascii="Times New Roman" w:hAnsi="Times New Roman" w:cs="Times New Roman"/>
        </w:rPr>
      </w:pPr>
    </w:p>
    <w:p w14:paraId="4CEB96D8" w14:textId="77777777" w:rsidR="00041F08" w:rsidRDefault="002B244F" w:rsidP="00A376FC">
      <w:pPr>
        <w:pStyle w:val="NoSpacing"/>
        <w:numPr>
          <w:ilvl w:val="0"/>
          <w:numId w:val="1"/>
        </w:numPr>
        <w:rPr>
          <w:rFonts w:ascii="Times New Roman" w:hAnsi="Times New Roman" w:cs="Times New Roman"/>
        </w:rPr>
      </w:pPr>
      <w:r>
        <w:rPr>
          <w:rFonts w:ascii="Times New Roman" w:hAnsi="Times New Roman" w:cs="Times New Roman"/>
        </w:rPr>
        <w:t>Under no circumstances should a credit to an accounts receivable resulting from a</w:t>
      </w:r>
      <w:r w:rsidR="00482339">
        <w:rPr>
          <w:rFonts w:ascii="Times New Roman" w:hAnsi="Times New Roman" w:cs="Times New Roman"/>
        </w:rPr>
        <w:t>n</w:t>
      </w:r>
      <w:r>
        <w:rPr>
          <w:rFonts w:ascii="Times New Roman" w:hAnsi="Times New Roman" w:cs="Times New Roman"/>
        </w:rPr>
        <w:t xml:space="preserve"> </w:t>
      </w:r>
      <w:r w:rsidR="00482339">
        <w:rPr>
          <w:rFonts w:ascii="Times New Roman" w:hAnsi="Times New Roman" w:cs="Times New Roman"/>
        </w:rPr>
        <w:t>over</w:t>
      </w:r>
      <w:r>
        <w:rPr>
          <w:rFonts w:ascii="Times New Roman" w:hAnsi="Times New Roman" w:cs="Times New Roman"/>
        </w:rPr>
        <w:t>payment made by the patient/client be taken into revenue.  All such overpayments should be returned to the owner or applied to future services at the owner’s request.  Any such overpayments on accounts that have become inactive should be returned to the owner or reported as unclaimed property to the appropriate state as required.</w:t>
      </w:r>
    </w:p>
    <w:p w14:paraId="0506CA18" w14:textId="77777777" w:rsidR="00041F08" w:rsidRDefault="00041F08" w:rsidP="00041F08">
      <w:pPr>
        <w:pStyle w:val="NoSpacing"/>
        <w:rPr>
          <w:rFonts w:ascii="Times New Roman" w:hAnsi="Times New Roman" w:cs="Times New Roman"/>
        </w:rPr>
      </w:pPr>
    </w:p>
    <w:p w14:paraId="7083A43A" w14:textId="77777777" w:rsidR="00041F08" w:rsidRDefault="00041F08" w:rsidP="00041F08">
      <w:pPr>
        <w:pStyle w:val="NoSpacing"/>
        <w:rPr>
          <w:rFonts w:ascii="Times New Roman" w:hAnsi="Times New Roman" w:cs="Times New Roman"/>
        </w:rPr>
      </w:pPr>
    </w:p>
    <w:p w14:paraId="0540370A" w14:textId="77777777" w:rsidR="00041F08" w:rsidRDefault="00041F08" w:rsidP="00041F08">
      <w:pPr>
        <w:pStyle w:val="NoSpacing"/>
        <w:rPr>
          <w:rFonts w:ascii="Times New Roman" w:hAnsi="Times New Roman" w:cs="Times New Roman"/>
        </w:rPr>
      </w:pPr>
    </w:p>
    <w:p w14:paraId="0B8C38C0" w14:textId="77777777" w:rsidR="00041F08" w:rsidRDefault="00041F08">
      <w:pPr>
        <w:rPr>
          <w:rFonts w:ascii="Times New Roman" w:hAnsi="Times New Roman" w:cs="Times New Roman"/>
        </w:rPr>
      </w:pPr>
      <w:r>
        <w:rPr>
          <w:rFonts w:ascii="Times New Roman" w:hAnsi="Times New Roman" w:cs="Times New Roman"/>
        </w:rPr>
        <w:br w:type="page"/>
      </w:r>
    </w:p>
    <w:p w14:paraId="1D69E77B" w14:textId="77777777" w:rsidR="007077D9" w:rsidRPr="00F52AA6" w:rsidRDefault="007077D9" w:rsidP="007077D9">
      <w:pPr>
        <w:pStyle w:val="NoSpacing"/>
        <w:rPr>
          <w:rFonts w:ascii="Times New Roman" w:hAnsi="Times New Roman" w:cs="Times New Roman"/>
          <w:b/>
        </w:rPr>
      </w:pPr>
      <w:r w:rsidRPr="007077D9">
        <w:rPr>
          <w:rFonts w:ascii="Times New Roman" w:hAnsi="Times New Roman" w:cs="Times New Roman"/>
          <w:b/>
        </w:rPr>
        <w:lastRenderedPageBreak/>
        <w:t xml:space="preserve">Appendix A:  Due Date </w:t>
      </w:r>
      <w:r w:rsidRPr="00F52AA6">
        <w:rPr>
          <w:rFonts w:ascii="Times New Roman" w:hAnsi="Times New Roman" w:cs="Times New Roman"/>
          <w:b/>
        </w:rPr>
        <w:t>Calendar</w:t>
      </w:r>
    </w:p>
    <w:p w14:paraId="02E22956" w14:textId="77777777" w:rsidR="007077D9" w:rsidRDefault="007077D9" w:rsidP="00041F08">
      <w:pPr>
        <w:pStyle w:val="NoSpacing"/>
        <w:rPr>
          <w:rFonts w:ascii="Times New Roman" w:hAnsi="Times New Roman" w:cs="Times New Roman"/>
          <w:b/>
        </w:rPr>
      </w:pPr>
    </w:p>
    <w:tbl>
      <w:tblPr>
        <w:tblStyle w:val="ColorfulList-Accent1"/>
        <w:tblW w:w="0" w:type="auto"/>
        <w:tblLook w:val="04A0" w:firstRow="1" w:lastRow="0" w:firstColumn="1" w:lastColumn="0" w:noHBand="0" w:noVBand="1"/>
      </w:tblPr>
      <w:tblGrid>
        <w:gridCol w:w="2329"/>
        <w:gridCol w:w="2055"/>
        <w:gridCol w:w="2928"/>
      </w:tblGrid>
      <w:tr w:rsidR="00C75A0C" w14:paraId="79CD8137" w14:textId="77777777" w:rsidTr="00C75A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39587EF1" w14:textId="77777777" w:rsidR="00C75A0C" w:rsidRDefault="00C75A0C" w:rsidP="005962AB">
            <w:pPr>
              <w:rPr>
                <w:b w:val="0"/>
              </w:rPr>
            </w:pPr>
            <w:r>
              <w:rPr>
                <w:b w:val="0"/>
              </w:rPr>
              <w:t>Date of Last Activity</w:t>
            </w:r>
          </w:p>
          <w:p w14:paraId="130AADF6" w14:textId="77777777" w:rsidR="00C75A0C" w:rsidRPr="0063154A" w:rsidRDefault="00C75A0C" w:rsidP="005962AB">
            <w:pPr>
              <w:rPr>
                <w:b w:val="0"/>
              </w:rPr>
            </w:pPr>
          </w:p>
        </w:tc>
        <w:tc>
          <w:tcPr>
            <w:tcW w:w="2055" w:type="dxa"/>
          </w:tcPr>
          <w:p w14:paraId="1BC068A6" w14:textId="77777777" w:rsidR="00C75A0C" w:rsidRPr="0063154A" w:rsidRDefault="00C75A0C" w:rsidP="005962AB">
            <w:pPr>
              <w:cnfStyle w:val="100000000000" w:firstRow="1" w:lastRow="0" w:firstColumn="0" w:lastColumn="0" w:oddVBand="0" w:evenVBand="0" w:oddHBand="0" w:evenHBand="0" w:firstRowFirstColumn="0" w:firstRowLastColumn="0" w:lastRowFirstColumn="0" w:lastRowLastColumn="0"/>
              <w:rPr>
                <w:b w:val="0"/>
              </w:rPr>
            </w:pPr>
            <w:r w:rsidRPr="0063154A">
              <w:rPr>
                <w:b w:val="0"/>
              </w:rPr>
              <w:t>School/Center Due Diligence Begins</w:t>
            </w:r>
          </w:p>
        </w:tc>
        <w:tc>
          <w:tcPr>
            <w:tcW w:w="2928" w:type="dxa"/>
          </w:tcPr>
          <w:p w14:paraId="3F7B5736" w14:textId="77777777" w:rsidR="00C75A0C" w:rsidRPr="0063154A" w:rsidRDefault="00C75A0C" w:rsidP="005962AB">
            <w:pPr>
              <w:cnfStyle w:val="100000000000" w:firstRow="1" w:lastRow="0" w:firstColumn="0" w:lastColumn="0" w:oddVBand="0" w:evenVBand="0" w:oddHBand="0" w:evenHBand="0" w:firstRowFirstColumn="0" w:firstRowLastColumn="0" w:lastRowFirstColumn="0" w:lastRowLastColumn="0"/>
              <w:rPr>
                <w:b w:val="0"/>
              </w:rPr>
            </w:pPr>
            <w:r w:rsidRPr="0063154A">
              <w:rPr>
                <w:b w:val="0"/>
              </w:rPr>
              <w:t>Due Diligence Spreadsheet Due to Controller’s</w:t>
            </w:r>
            <w:r>
              <w:rPr>
                <w:b w:val="0"/>
              </w:rPr>
              <w:t xml:space="preserve"> Office</w:t>
            </w:r>
          </w:p>
        </w:tc>
      </w:tr>
      <w:tr w:rsidR="00C75A0C" w14:paraId="2388DBDF" w14:textId="77777777" w:rsidTr="00C75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5BE30993" w14:textId="77777777" w:rsidR="00C75A0C" w:rsidRDefault="00C75A0C" w:rsidP="005962AB">
            <w:r>
              <w:t>January  1 – 31</w:t>
            </w:r>
          </w:p>
        </w:tc>
        <w:tc>
          <w:tcPr>
            <w:tcW w:w="2055" w:type="dxa"/>
          </w:tcPr>
          <w:p w14:paraId="2FF32A24"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May  1</w:t>
            </w:r>
          </w:p>
        </w:tc>
        <w:tc>
          <w:tcPr>
            <w:tcW w:w="2928" w:type="dxa"/>
          </w:tcPr>
          <w:p w14:paraId="1EA46379"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August 31</w:t>
            </w:r>
          </w:p>
        </w:tc>
      </w:tr>
      <w:tr w:rsidR="00C75A0C" w14:paraId="30112C55" w14:textId="77777777" w:rsidTr="00C75A0C">
        <w:tc>
          <w:tcPr>
            <w:cnfStyle w:val="001000000000" w:firstRow="0" w:lastRow="0" w:firstColumn="1" w:lastColumn="0" w:oddVBand="0" w:evenVBand="0" w:oddHBand="0" w:evenHBand="0" w:firstRowFirstColumn="0" w:firstRowLastColumn="0" w:lastRowFirstColumn="0" w:lastRowLastColumn="0"/>
            <w:tcW w:w="2329" w:type="dxa"/>
          </w:tcPr>
          <w:p w14:paraId="5467B55B" w14:textId="77777777" w:rsidR="00C75A0C" w:rsidRDefault="00C75A0C" w:rsidP="005962AB">
            <w:r>
              <w:t>February  1 – 28</w:t>
            </w:r>
          </w:p>
        </w:tc>
        <w:tc>
          <w:tcPr>
            <w:tcW w:w="2055" w:type="dxa"/>
          </w:tcPr>
          <w:p w14:paraId="29A53881"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June  1</w:t>
            </w:r>
          </w:p>
        </w:tc>
        <w:tc>
          <w:tcPr>
            <w:tcW w:w="2928" w:type="dxa"/>
          </w:tcPr>
          <w:p w14:paraId="42757B8A"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August 31</w:t>
            </w:r>
          </w:p>
        </w:tc>
      </w:tr>
      <w:tr w:rsidR="00C75A0C" w14:paraId="51E8E8BC" w14:textId="77777777" w:rsidTr="00C75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1DDE927F" w14:textId="77777777" w:rsidR="00C75A0C" w:rsidRDefault="00C75A0C" w:rsidP="005962AB">
            <w:r>
              <w:t>March  1 – 31</w:t>
            </w:r>
          </w:p>
        </w:tc>
        <w:tc>
          <w:tcPr>
            <w:tcW w:w="2055" w:type="dxa"/>
          </w:tcPr>
          <w:p w14:paraId="7EA6CEE6"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July  1</w:t>
            </w:r>
          </w:p>
        </w:tc>
        <w:tc>
          <w:tcPr>
            <w:tcW w:w="2928" w:type="dxa"/>
          </w:tcPr>
          <w:p w14:paraId="605C59AB"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August 31</w:t>
            </w:r>
          </w:p>
        </w:tc>
      </w:tr>
      <w:tr w:rsidR="00C75A0C" w14:paraId="7C8E8669" w14:textId="77777777" w:rsidTr="00C75A0C">
        <w:tc>
          <w:tcPr>
            <w:cnfStyle w:val="001000000000" w:firstRow="0" w:lastRow="0" w:firstColumn="1" w:lastColumn="0" w:oddVBand="0" w:evenVBand="0" w:oddHBand="0" w:evenHBand="0" w:firstRowFirstColumn="0" w:firstRowLastColumn="0" w:lastRowFirstColumn="0" w:lastRowLastColumn="0"/>
            <w:tcW w:w="2329" w:type="dxa"/>
          </w:tcPr>
          <w:p w14:paraId="6F35588C" w14:textId="77777777" w:rsidR="00C75A0C" w:rsidRDefault="00C75A0C" w:rsidP="005962AB">
            <w:r>
              <w:t>April  1 – 30</w:t>
            </w:r>
          </w:p>
        </w:tc>
        <w:tc>
          <w:tcPr>
            <w:tcW w:w="2055" w:type="dxa"/>
          </w:tcPr>
          <w:p w14:paraId="6C92F468"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August  1</w:t>
            </w:r>
          </w:p>
        </w:tc>
        <w:tc>
          <w:tcPr>
            <w:tcW w:w="2928" w:type="dxa"/>
          </w:tcPr>
          <w:p w14:paraId="5CB73C3B"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November 30</w:t>
            </w:r>
          </w:p>
        </w:tc>
      </w:tr>
      <w:tr w:rsidR="00C75A0C" w14:paraId="297678DE" w14:textId="77777777" w:rsidTr="00C75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02C76854" w14:textId="77777777" w:rsidR="00C75A0C" w:rsidRDefault="00C75A0C" w:rsidP="005962AB">
            <w:r>
              <w:t>May  1 – 31</w:t>
            </w:r>
          </w:p>
        </w:tc>
        <w:tc>
          <w:tcPr>
            <w:tcW w:w="2055" w:type="dxa"/>
          </w:tcPr>
          <w:p w14:paraId="36FA0D7F"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September  1</w:t>
            </w:r>
          </w:p>
        </w:tc>
        <w:tc>
          <w:tcPr>
            <w:tcW w:w="2928" w:type="dxa"/>
          </w:tcPr>
          <w:p w14:paraId="31E496B5"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November 30</w:t>
            </w:r>
          </w:p>
        </w:tc>
      </w:tr>
      <w:tr w:rsidR="00C75A0C" w14:paraId="13D86711" w14:textId="77777777" w:rsidTr="00C75A0C">
        <w:tc>
          <w:tcPr>
            <w:cnfStyle w:val="001000000000" w:firstRow="0" w:lastRow="0" w:firstColumn="1" w:lastColumn="0" w:oddVBand="0" w:evenVBand="0" w:oddHBand="0" w:evenHBand="0" w:firstRowFirstColumn="0" w:firstRowLastColumn="0" w:lastRowFirstColumn="0" w:lastRowLastColumn="0"/>
            <w:tcW w:w="2329" w:type="dxa"/>
          </w:tcPr>
          <w:p w14:paraId="4107B1B1" w14:textId="77777777" w:rsidR="00C75A0C" w:rsidRDefault="00C75A0C" w:rsidP="005962AB">
            <w:r>
              <w:t>June  1 – 30</w:t>
            </w:r>
          </w:p>
        </w:tc>
        <w:tc>
          <w:tcPr>
            <w:tcW w:w="2055" w:type="dxa"/>
          </w:tcPr>
          <w:p w14:paraId="5F38B35B"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October  1</w:t>
            </w:r>
          </w:p>
        </w:tc>
        <w:tc>
          <w:tcPr>
            <w:tcW w:w="2928" w:type="dxa"/>
          </w:tcPr>
          <w:p w14:paraId="1D45A505"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November 30</w:t>
            </w:r>
          </w:p>
        </w:tc>
      </w:tr>
      <w:tr w:rsidR="00C75A0C" w14:paraId="107D3D53" w14:textId="77777777" w:rsidTr="00C75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6FF6BE21" w14:textId="77777777" w:rsidR="00C75A0C" w:rsidRDefault="00C75A0C" w:rsidP="005962AB">
            <w:r>
              <w:t>July  1 – 31</w:t>
            </w:r>
          </w:p>
        </w:tc>
        <w:tc>
          <w:tcPr>
            <w:tcW w:w="2055" w:type="dxa"/>
          </w:tcPr>
          <w:p w14:paraId="67E8F8B7"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November  1</w:t>
            </w:r>
          </w:p>
        </w:tc>
        <w:tc>
          <w:tcPr>
            <w:tcW w:w="2928" w:type="dxa"/>
          </w:tcPr>
          <w:p w14:paraId="6F9A60B7"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February 28</w:t>
            </w:r>
          </w:p>
        </w:tc>
      </w:tr>
      <w:tr w:rsidR="00C75A0C" w14:paraId="0DA67C55" w14:textId="77777777" w:rsidTr="00C75A0C">
        <w:tc>
          <w:tcPr>
            <w:cnfStyle w:val="001000000000" w:firstRow="0" w:lastRow="0" w:firstColumn="1" w:lastColumn="0" w:oddVBand="0" w:evenVBand="0" w:oddHBand="0" w:evenHBand="0" w:firstRowFirstColumn="0" w:firstRowLastColumn="0" w:lastRowFirstColumn="0" w:lastRowLastColumn="0"/>
            <w:tcW w:w="2329" w:type="dxa"/>
          </w:tcPr>
          <w:p w14:paraId="2FA661E9" w14:textId="77777777" w:rsidR="00C75A0C" w:rsidRDefault="00C75A0C" w:rsidP="005962AB">
            <w:r>
              <w:t>August  1 – 31</w:t>
            </w:r>
          </w:p>
        </w:tc>
        <w:tc>
          <w:tcPr>
            <w:tcW w:w="2055" w:type="dxa"/>
          </w:tcPr>
          <w:p w14:paraId="1D06E96F"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December  1</w:t>
            </w:r>
          </w:p>
        </w:tc>
        <w:tc>
          <w:tcPr>
            <w:tcW w:w="2928" w:type="dxa"/>
          </w:tcPr>
          <w:p w14:paraId="2D360D3C"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February 28</w:t>
            </w:r>
          </w:p>
        </w:tc>
      </w:tr>
      <w:tr w:rsidR="00C75A0C" w14:paraId="731DFBC5" w14:textId="77777777" w:rsidTr="00C75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46FC91EF" w14:textId="77777777" w:rsidR="00C75A0C" w:rsidRDefault="00C75A0C" w:rsidP="005962AB">
            <w:r>
              <w:t>September  1 – 30</w:t>
            </w:r>
          </w:p>
        </w:tc>
        <w:tc>
          <w:tcPr>
            <w:tcW w:w="2055" w:type="dxa"/>
          </w:tcPr>
          <w:p w14:paraId="62775B7C"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January  1</w:t>
            </w:r>
          </w:p>
        </w:tc>
        <w:tc>
          <w:tcPr>
            <w:tcW w:w="2928" w:type="dxa"/>
          </w:tcPr>
          <w:p w14:paraId="17FD7FD6"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February 28</w:t>
            </w:r>
          </w:p>
        </w:tc>
      </w:tr>
      <w:tr w:rsidR="00C75A0C" w14:paraId="376F699E" w14:textId="77777777" w:rsidTr="00C75A0C">
        <w:tc>
          <w:tcPr>
            <w:cnfStyle w:val="001000000000" w:firstRow="0" w:lastRow="0" w:firstColumn="1" w:lastColumn="0" w:oddVBand="0" w:evenVBand="0" w:oddHBand="0" w:evenHBand="0" w:firstRowFirstColumn="0" w:firstRowLastColumn="0" w:lastRowFirstColumn="0" w:lastRowLastColumn="0"/>
            <w:tcW w:w="2329" w:type="dxa"/>
          </w:tcPr>
          <w:p w14:paraId="6050BC43" w14:textId="77777777" w:rsidR="00C75A0C" w:rsidRDefault="00C75A0C" w:rsidP="005962AB">
            <w:r>
              <w:t>October  1 – 31</w:t>
            </w:r>
          </w:p>
        </w:tc>
        <w:tc>
          <w:tcPr>
            <w:tcW w:w="2055" w:type="dxa"/>
          </w:tcPr>
          <w:p w14:paraId="14532E62"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February  1</w:t>
            </w:r>
          </w:p>
        </w:tc>
        <w:tc>
          <w:tcPr>
            <w:tcW w:w="2928" w:type="dxa"/>
          </w:tcPr>
          <w:p w14:paraId="5627297C"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May 31</w:t>
            </w:r>
          </w:p>
        </w:tc>
      </w:tr>
      <w:tr w:rsidR="00C75A0C" w14:paraId="650C192E" w14:textId="77777777" w:rsidTr="00C75A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9" w:type="dxa"/>
          </w:tcPr>
          <w:p w14:paraId="483397A2" w14:textId="77777777" w:rsidR="00C75A0C" w:rsidRDefault="00C75A0C" w:rsidP="005962AB">
            <w:r>
              <w:t>November  1 – 30</w:t>
            </w:r>
          </w:p>
        </w:tc>
        <w:tc>
          <w:tcPr>
            <w:tcW w:w="2055" w:type="dxa"/>
          </w:tcPr>
          <w:p w14:paraId="7E4CF565"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March  1</w:t>
            </w:r>
          </w:p>
        </w:tc>
        <w:tc>
          <w:tcPr>
            <w:tcW w:w="2928" w:type="dxa"/>
          </w:tcPr>
          <w:p w14:paraId="696F11D5" w14:textId="77777777" w:rsidR="00C75A0C" w:rsidRDefault="00C75A0C" w:rsidP="005962AB">
            <w:pPr>
              <w:cnfStyle w:val="000000100000" w:firstRow="0" w:lastRow="0" w:firstColumn="0" w:lastColumn="0" w:oddVBand="0" w:evenVBand="0" w:oddHBand="1" w:evenHBand="0" w:firstRowFirstColumn="0" w:firstRowLastColumn="0" w:lastRowFirstColumn="0" w:lastRowLastColumn="0"/>
            </w:pPr>
            <w:r>
              <w:t>May 31</w:t>
            </w:r>
          </w:p>
        </w:tc>
      </w:tr>
      <w:tr w:rsidR="00C75A0C" w14:paraId="073F0E4C" w14:textId="77777777" w:rsidTr="00C75A0C">
        <w:tc>
          <w:tcPr>
            <w:cnfStyle w:val="001000000000" w:firstRow="0" w:lastRow="0" w:firstColumn="1" w:lastColumn="0" w:oddVBand="0" w:evenVBand="0" w:oddHBand="0" w:evenHBand="0" w:firstRowFirstColumn="0" w:firstRowLastColumn="0" w:lastRowFirstColumn="0" w:lastRowLastColumn="0"/>
            <w:tcW w:w="2329" w:type="dxa"/>
          </w:tcPr>
          <w:p w14:paraId="1C2EDCC5" w14:textId="77777777" w:rsidR="00C75A0C" w:rsidRDefault="00C75A0C" w:rsidP="005962AB">
            <w:r>
              <w:t>December  1 – 31</w:t>
            </w:r>
          </w:p>
        </w:tc>
        <w:tc>
          <w:tcPr>
            <w:tcW w:w="2055" w:type="dxa"/>
          </w:tcPr>
          <w:p w14:paraId="4CD829FD"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April  1</w:t>
            </w:r>
          </w:p>
        </w:tc>
        <w:tc>
          <w:tcPr>
            <w:tcW w:w="2928" w:type="dxa"/>
          </w:tcPr>
          <w:p w14:paraId="1BCFA023" w14:textId="77777777" w:rsidR="00C75A0C" w:rsidRDefault="00C75A0C" w:rsidP="005962AB">
            <w:pPr>
              <w:cnfStyle w:val="000000000000" w:firstRow="0" w:lastRow="0" w:firstColumn="0" w:lastColumn="0" w:oddVBand="0" w:evenVBand="0" w:oddHBand="0" w:evenHBand="0" w:firstRowFirstColumn="0" w:firstRowLastColumn="0" w:lastRowFirstColumn="0" w:lastRowLastColumn="0"/>
            </w:pPr>
            <w:r>
              <w:t>May 31</w:t>
            </w:r>
          </w:p>
        </w:tc>
      </w:tr>
    </w:tbl>
    <w:p w14:paraId="19143A33" w14:textId="77777777" w:rsidR="00C75A0C" w:rsidRDefault="00C75A0C" w:rsidP="00041F08">
      <w:pPr>
        <w:pStyle w:val="NoSpacing"/>
        <w:rPr>
          <w:rFonts w:ascii="Times New Roman" w:hAnsi="Times New Roman" w:cs="Times New Roman"/>
          <w:b/>
        </w:rPr>
      </w:pPr>
    </w:p>
    <w:p w14:paraId="38098008" w14:textId="77777777" w:rsidR="007077D9" w:rsidRDefault="007077D9" w:rsidP="00041F08">
      <w:pPr>
        <w:pStyle w:val="NoSpacing"/>
        <w:rPr>
          <w:rFonts w:ascii="Times New Roman" w:hAnsi="Times New Roman" w:cs="Times New Roman"/>
          <w:b/>
        </w:rPr>
      </w:pPr>
    </w:p>
    <w:p w14:paraId="5F819403" w14:textId="77777777" w:rsidR="007077D9" w:rsidRDefault="007077D9" w:rsidP="00041F08">
      <w:pPr>
        <w:pStyle w:val="NoSpacing"/>
        <w:rPr>
          <w:rFonts w:ascii="Times New Roman" w:hAnsi="Times New Roman" w:cs="Times New Roman"/>
          <w:b/>
        </w:rPr>
      </w:pPr>
    </w:p>
    <w:p w14:paraId="09182085" w14:textId="77777777" w:rsidR="007077D9" w:rsidRDefault="007077D9" w:rsidP="00041F08">
      <w:pPr>
        <w:pStyle w:val="NoSpacing"/>
        <w:rPr>
          <w:rFonts w:ascii="Times New Roman" w:hAnsi="Times New Roman" w:cs="Times New Roman"/>
          <w:b/>
        </w:rPr>
      </w:pPr>
    </w:p>
    <w:p w14:paraId="7DA4313B" w14:textId="77777777" w:rsidR="007077D9" w:rsidRDefault="007077D9" w:rsidP="00041F08">
      <w:pPr>
        <w:pStyle w:val="NoSpacing"/>
        <w:rPr>
          <w:rFonts w:ascii="Times New Roman" w:hAnsi="Times New Roman" w:cs="Times New Roman"/>
          <w:b/>
        </w:rPr>
      </w:pPr>
    </w:p>
    <w:p w14:paraId="1F019700" w14:textId="77777777" w:rsidR="007077D9" w:rsidRDefault="007077D9">
      <w:pPr>
        <w:rPr>
          <w:rFonts w:ascii="Times New Roman" w:hAnsi="Times New Roman" w:cs="Times New Roman"/>
          <w:b/>
        </w:rPr>
      </w:pPr>
      <w:r>
        <w:rPr>
          <w:rFonts w:ascii="Times New Roman" w:hAnsi="Times New Roman" w:cs="Times New Roman"/>
          <w:b/>
        </w:rPr>
        <w:br w:type="page"/>
      </w:r>
    </w:p>
    <w:p w14:paraId="1B0AAA80" w14:textId="77777777" w:rsidR="00041F08" w:rsidRDefault="00041F08" w:rsidP="00041F08">
      <w:pPr>
        <w:pStyle w:val="NoSpacing"/>
        <w:rPr>
          <w:rFonts w:ascii="Times New Roman" w:hAnsi="Times New Roman" w:cs="Times New Roman"/>
          <w:b/>
        </w:rPr>
      </w:pPr>
      <w:r w:rsidRPr="005931BF">
        <w:rPr>
          <w:rFonts w:ascii="Times New Roman" w:hAnsi="Times New Roman" w:cs="Times New Roman"/>
          <w:b/>
        </w:rPr>
        <w:lastRenderedPageBreak/>
        <w:t>Appendix B:  Sample Due Diligence Letter</w:t>
      </w:r>
    </w:p>
    <w:p w14:paraId="033BBFA1" w14:textId="77777777" w:rsidR="00041F08" w:rsidRPr="00382E4E" w:rsidRDefault="00041F08" w:rsidP="00041F08">
      <w:pPr>
        <w:pStyle w:val="NoSpacing"/>
        <w:rPr>
          <w:rFonts w:ascii="Times New Roman" w:hAnsi="Times New Roman" w:cs="Times New Roman"/>
          <w:i/>
        </w:rPr>
      </w:pPr>
      <w:r w:rsidRPr="00382E4E">
        <w:rPr>
          <w:rFonts w:ascii="Times New Roman" w:hAnsi="Times New Roman" w:cs="Times New Roman"/>
          <w:i/>
        </w:rPr>
        <w:t xml:space="preserve">Below is a sample due diligence letter for use in contacting </w:t>
      </w:r>
      <w:r w:rsidR="009F1CCC" w:rsidRPr="00382E4E">
        <w:rPr>
          <w:rFonts w:ascii="Times New Roman" w:hAnsi="Times New Roman" w:cs="Times New Roman"/>
          <w:i/>
        </w:rPr>
        <w:t>pay</w:t>
      </w:r>
      <w:r w:rsidR="009F1CCC">
        <w:rPr>
          <w:rFonts w:ascii="Times New Roman" w:hAnsi="Times New Roman" w:cs="Times New Roman"/>
          <w:i/>
        </w:rPr>
        <w:t>ers</w:t>
      </w:r>
      <w:r w:rsidRPr="00382E4E">
        <w:rPr>
          <w:rFonts w:ascii="Times New Roman" w:hAnsi="Times New Roman" w:cs="Times New Roman"/>
          <w:i/>
        </w:rPr>
        <w:t xml:space="preserve"> regarding their </w:t>
      </w:r>
      <w:r w:rsidR="009F1CCC">
        <w:rPr>
          <w:rFonts w:ascii="Times New Roman" w:hAnsi="Times New Roman" w:cs="Times New Roman"/>
          <w:i/>
        </w:rPr>
        <w:t>accounts receivable credits</w:t>
      </w:r>
      <w:r w:rsidRPr="00382E4E">
        <w:rPr>
          <w:rFonts w:ascii="Times New Roman" w:hAnsi="Times New Roman" w:cs="Times New Roman"/>
          <w:i/>
        </w:rPr>
        <w:t xml:space="preserve">.  The letter should be sent out on University letterhead.  Information in brackets “&lt; &gt;” should be </w:t>
      </w:r>
      <w:r>
        <w:rPr>
          <w:rFonts w:ascii="Times New Roman" w:hAnsi="Times New Roman" w:cs="Times New Roman"/>
          <w:i/>
        </w:rPr>
        <w:t>entered</w:t>
      </w:r>
      <w:r w:rsidRPr="00382E4E">
        <w:rPr>
          <w:rFonts w:ascii="Times New Roman" w:hAnsi="Times New Roman" w:cs="Times New Roman"/>
          <w:i/>
        </w:rPr>
        <w:t xml:space="preserve"> by the</w:t>
      </w:r>
      <w:r>
        <w:rPr>
          <w:rFonts w:ascii="Times New Roman" w:hAnsi="Times New Roman" w:cs="Times New Roman"/>
          <w:i/>
        </w:rPr>
        <w:t xml:space="preserve"> School/Center prior to</w:t>
      </w:r>
      <w:r w:rsidRPr="00382E4E">
        <w:rPr>
          <w:rFonts w:ascii="Times New Roman" w:hAnsi="Times New Roman" w:cs="Times New Roman"/>
          <w:i/>
        </w:rPr>
        <w:t xml:space="preserve"> sending the letter.</w:t>
      </w:r>
    </w:p>
    <w:p w14:paraId="26332FC6" w14:textId="77777777" w:rsidR="00041F08" w:rsidRDefault="00041F08" w:rsidP="00041F08">
      <w:pPr>
        <w:pStyle w:val="NoSpacing"/>
        <w:rPr>
          <w:rFonts w:ascii="Times New Roman" w:hAnsi="Times New Roman" w:cs="Times New Roman"/>
        </w:rPr>
      </w:pPr>
    </w:p>
    <w:p w14:paraId="14BC7FD3" w14:textId="77777777" w:rsidR="00041F08" w:rsidRDefault="00041F08" w:rsidP="00B8046B">
      <w:pPr>
        <w:spacing w:after="0"/>
      </w:pPr>
      <w:r>
        <w:t>&lt;Current Date&gt;</w:t>
      </w:r>
    </w:p>
    <w:p w14:paraId="1E80714F" w14:textId="77777777" w:rsidR="00041F08" w:rsidRDefault="00041F08" w:rsidP="00516325">
      <w:pPr>
        <w:pStyle w:val="NoSpacing"/>
      </w:pPr>
      <w:r>
        <w:t xml:space="preserve">&lt;Name </w:t>
      </w:r>
      <w:r w:rsidR="009F1CCC">
        <w:t>of</w:t>
      </w:r>
      <w:r>
        <w:t xml:space="preserve"> </w:t>
      </w:r>
      <w:r w:rsidR="006B2C45">
        <w:t>Patient/Client</w:t>
      </w:r>
      <w:r>
        <w:t>&gt;</w:t>
      </w:r>
    </w:p>
    <w:p w14:paraId="4087AB42" w14:textId="77777777" w:rsidR="00041F08" w:rsidRDefault="00041F08">
      <w:pPr>
        <w:pStyle w:val="NoSpacing"/>
      </w:pPr>
      <w:r>
        <w:t xml:space="preserve">&lt;Address of </w:t>
      </w:r>
      <w:r w:rsidR="006B2C45">
        <w:t>Patient/Client</w:t>
      </w:r>
      <w:r>
        <w:t>&gt;</w:t>
      </w:r>
    </w:p>
    <w:p w14:paraId="2FC1C85D" w14:textId="77777777" w:rsidR="00041F08" w:rsidRDefault="00041F08" w:rsidP="00041F08">
      <w:pPr>
        <w:pStyle w:val="NoSpacing"/>
      </w:pPr>
      <w:r>
        <w:t>________________________________________________________________________</w:t>
      </w:r>
    </w:p>
    <w:p w14:paraId="383052E8" w14:textId="77777777" w:rsidR="00041F08" w:rsidRPr="00382DB5" w:rsidRDefault="00041F08" w:rsidP="00041F08">
      <w:pPr>
        <w:pStyle w:val="NoSpacing"/>
        <w:rPr>
          <w:b/>
        </w:rPr>
      </w:pPr>
      <w:r>
        <w:rPr>
          <w:b/>
        </w:rPr>
        <w:t xml:space="preserve">RE: </w:t>
      </w:r>
      <w:r w:rsidRPr="00382DB5">
        <w:rPr>
          <w:b/>
        </w:rPr>
        <w:t>Property Type:</w:t>
      </w:r>
      <w:r>
        <w:rPr>
          <w:b/>
        </w:rPr>
        <w:t xml:space="preserve"> </w:t>
      </w:r>
      <w:r w:rsidRPr="00382DB5">
        <w:rPr>
          <w:b/>
        </w:rPr>
        <w:t xml:space="preserve"> ACCOUNTS </w:t>
      </w:r>
      <w:r>
        <w:rPr>
          <w:b/>
        </w:rPr>
        <w:t>RECEIVABLE CREDIT</w:t>
      </w:r>
    </w:p>
    <w:p w14:paraId="30E94DD2" w14:textId="77777777" w:rsidR="006B2C45" w:rsidRDefault="00041F08" w:rsidP="00041F08">
      <w:pPr>
        <w:pStyle w:val="NoSpacing"/>
        <w:rPr>
          <w:b/>
        </w:rPr>
      </w:pPr>
      <w:r w:rsidRPr="00382DB5">
        <w:rPr>
          <w:b/>
        </w:rPr>
        <w:t>Last Activity:</w:t>
      </w:r>
      <w:r>
        <w:rPr>
          <w:b/>
        </w:rPr>
        <w:t xml:space="preserve">  &lt;Date </w:t>
      </w:r>
      <w:r w:rsidR="00482339">
        <w:rPr>
          <w:b/>
        </w:rPr>
        <w:t>of last activity on account</w:t>
      </w:r>
      <w:r>
        <w:rPr>
          <w:b/>
        </w:rPr>
        <w:t>&gt;</w:t>
      </w:r>
    </w:p>
    <w:p w14:paraId="015B4C55" w14:textId="77777777" w:rsidR="00041F08" w:rsidRDefault="00041F08" w:rsidP="00041F08">
      <w:pPr>
        <w:pStyle w:val="NoSpacing"/>
      </w:pPr>
      <w:r w:rsidRPr="006B2C45">
        <w:rPr>
          <w:b/>
        </w:rPr>
        <w:t>Customer</w:t>
      </w:r>
      <w:r w:rsidRPr="00382DB5">
        <w:rPr>
          <w:b/>
        </w:rPr>
        <w:t xml:space="preserve"> #:</w:t>
      </w:r>
      <w:r>
        <w:rPr>
          <w:b/>
        </w:rPr>
        <w:t xml:space="preserve"> &lt;Client Number&gt;</w:t>
      </w:r>
    </w:p>
    <w:p w14:paraId="268C0098" w14:textId="77777777" w:rsidR="00041F08" w:rsidRDefault="00482339" w:rsidP="00041F08">
      <w:pPr>
        <w:pStyle w:val="NoSpacing"/>
      </w:pPr>
      <w:r>
        <w:rPr>
          <w:b/>
        </w:rPr>
        <w:t xml:space="preserve">Credit Balance   </w:t>
      </w:r>
      <w:r w:rsidR="00041F08">
        <w:rPr>
          <w:b/>
        </w:rPr>
        <w:t>$&lt;Amount of Credit&gt;</w:t>
      </w:r>
    </w:p>
    <w:p w14:paraId="63FF8509" w14:textId="77777777" w:rsidR="00041F08" w:rsidRDefault="00041F08" w:rsidP="00041F08">
      <w:pPr>
        <w:pStyle w:val="NoSpacing"/>
      </w:pPr>
    </w:p>
    <w:p w14:paraId="65B1B517" w14:textId="77777777" w:rsidR="00516325" w:rsidRDefault="00041F08" w:rsidP="00041F08">
      <w:pPr>
        <w:pStyle w:val="NoSpacing"/>
      </w:pPr>
      <w:r>
        <w:t xml:space="preserve">The above referenced Accounts </w:t>
      </w:r>
      <w:r w:rsidR="00482339">
        <w:t xml:space="preserve">Receivable </w:t>
      </w:r>
      <w:r>
        <w:t>cred</w:t>
      </w:r>
      <w:r w:rsidR="009F1CCC">
        <w:t>i</w:t>
      </w:r>
      <w:r>
        <w:t>t has been found in our records as outstanding. Please let us know if you would like this credit refunded back or if you would like us to</w:t>
      </w:r>
      <w:r w:rsidR="00CD38F6">
        <w:t xml:space="preserve"> retain the credit and apply it to future visits/services</w:t>
      </w:r>
      <w:r>
        <w:t xml:space="preserve">. </w:t>
      </w:r>
    </w:p>
    <w:p w14:paraId="76779805" w14:textId="77777777" w:rsidR="00516325" w:rsidRDefault="00516325" w:rsidP="00041F08">
      <w:pPr>
        <w:pStyle w:val="NoSpacing"/>
      </w:pPr>
    </w:p>
    <w:p w14:paraId="4E3E8BB7" w14:textId="22F3D7B5" w:rsidR="00516325" w:rsidRDefault="00516325" w:rsidP="00041F08">
      <w:pPr>
        <w:pStyle w:val="NoSpacing"/>
      </w:pPr>
      <w:r>
        <w:t>Check the appropriate statement below and sign on the space provided.  R</w:t>
      </w:r>
      <w:r w:rsidR="00B8046B">
        <w:t>e</w:t>
      </w:r>
      <w:r>
        <w:t>tur</w:t>
      </w:r>
      <w:r w:rsidR="00B8046B">
        <w:t>n</w:t>
      </w:r>
      <w:r>
        <w:t xml:space="preserve"> this letter to the address provided below.  If the address on this letter is incorrect, kindly indicate the address where you would like us to send your re-issued check or any future correspondence on the “New Mailing Address” lines below.</w:t>
      </w:r>
    </w:p>
    <w:p w14:paraId="31D4ED73" w14:textId="77777777" w:rsidR="00516325" w:rsidRDefault="00516325" w:rsidP="00041F08">
      <w:pPr>
        <w:pStyle w:val="NoSpacing"/>
      </w:pPr>
    </w:p>
    <w:p w14:paraId="5C9F89FD" w14:textId="6331C03C" w:rsidR="00041F08" w:rsidRDefault="00041F08" w:rsidP="00041F08">
      <w:pPr>
        <w:pStyle w:val="NoSpacing"/>
      </w:pPr>
      <w:r>
        <w:t xml:space="preserve">We </w:t>
      </w:r>
      <w:r w:rsidR="00516325">
        <w:t>would appreciate receiving your response by</w:t>
      </w:r>
      <w:r>
        <w:t xml:space="preserve"> </w:t>
      </w:r>
      <w:r>
        <w:rPr>
          <w:b/>
        </w:rPr>
        <w:t>&lt;Response Date&gt;</w:t>
      </w:r>
      <w:r>
        <w:t>. If we do not hear from you</w:t>
      </w:r>
      <w:r w:rsidR="00516325">
        <w:t>,</w:t>
      </w:r>
      <w:r>
        <w:t xml:space="preserve"> your </w:t>
      </w:r>
      <w:r w:rsidR="00516325">
        <w:t xml:space="preserve">funds </w:t>
      </w:r>
      <w:r>
        <w:t xml:space="preserve">will be reported to the State entity that governs Unclaimed Property. </w:t>
      </w:r>
    </w:p>
    <w:p w14:paraId="6F7D9DA7" w14:textId="77777777" w:rsidR="00041F08" w:rsidRDefault="00041F08" w:rsidP="00041F08">
      <w:pPr>
        <w:pStyle w:val="NoSpacing"/>
      </w:pPr>
    </w:p>
    <w:p w14:paraId="4115FB57" w14:textId="77777777" w:rsidR="00041F08" w:rsidRDefault="00041F08" w:rsidP="00041F08">
      <w:pPr>
        <w:pStyle w:val="NoSpacing"/>
      </w:pPr>
      <w:r>
        <w:t xml:space="preserve">____ Yes, please </w:t>
      </w:r>
      <w:r w:rsidR="00154EF8">
        <w:t xml:space="preserve">return </w:t>
      </w:r>
      <w:r>
        <w:t>the credit</w:t>
      </w:r>
      <w:r w:rsidR="00154EF8">
        <w:t>/overpayment</w:t>
      </w:r>
      <w:r>
        <w:t xml:space="preserve"> to me.</w:t>
      </w:r>
    </w:p>
    <w:p w14:paraId="03581333" w14:textId="77777777" w:rsidR="00041F08" w:rsidRDefault="00041F08" w:rsidP="00041F08">
      <w:pPr>
        <w:pStyle w:val="NoSpacing"/>
      </w:pPr>
    </w:p>
    <w:p w14:paraId="64E52FCA" w14:textId="77777777" w:rsidR="00482339" w:rsidRDefault="00041F08" w:rsidP="00041F08">
      <w:pPr>
        <w:pStyle w:val="NoSpacing"/>
      </w:pPr>
      <w:r>
        <w:t xml:space="preserve">____ No, please </w:t>
      </w:r>
      <w:r w:rsidR="009F1CCC">
        <w:t>retain</w:t>
      </w:r>
      <w:r>
        <w:t xml:space="preserve"> the credit for future visits/services</w:t>
      </w:r>
      <w:r w:rsidR="00482339">
        <w:t xml:space="preserve">.  (Note that if the account remains inactive after 90 days, </w:t>
      </w:r>
      <w:r w:rsidR="0063195C">
        <w:t>the credit will be returned to you at the address on record.)</w:t>
      </w:r>
    </w:p>
    <w:p w14:paraId="4767554A" w14:textId="77777777" w:rsidR="0063195C" w:rsidRDefault="0063195C" w:rsidP="00041F08">
      <w:pPr>
        <w:pStyle w:val="NoSpacing"/>
      </w:pPr>
    </w:p>
    <w:p w14:paraId="623FC9DA" w14:textId="77777777" w:rsidR="00041F08" w:rsidRDefault="00041F08" w:rsidP="00041F08">
      <w:pPr>
        <w:pStyle w:val="NoSpacing"/>
      </w:pPr>
    </w:p>
    <w:p w14:paraId="442FA575" w14:textId="77777777" w:rsidR="00041F08" w:rsidRDefault="00041F08" w:rsidP="00041F08">
      <w:pPr>
        <w:pStyle w:val="NoSpacing"/>
      </w:pPr>
      <w:r>
        <w:t xml:space="preserve"> </w:t>
      </w:r>
      <w:r w:rsidRPr="008B1714">
        <w:rPr>
          <w:b/>
          <w:i/>
        </w:rPr>
        <w:t>Name</w:t>
      </w:r>
      <w:r>
        <w:t xml:space="preserve"> (if different than above):______________________________________________</w:t>
      </w:r>
    </w:p>
    <w:p w14:paraId="72EB5D9B" w14:textId="77777777" w:rsidR="00041F08" w:rsidRDefault="00041F08" w:rsidP="00041F08">
      <w:pPr>
        <w:pStyle w:val="NoSpacing"/>
      </w:pPr>
    </w:p>
    <w:p w14:paraId="4A72F6EC" w14:textId="77777777" w:rsidR="00041F08" w:rsidRDefault="00041F08" w:rsidP="00041F08">
      <w:pPr>
        <w:pStyle w:val="NoSpacing"/>
      </w:pPr>
      <w:r w:rsidRPr="008B1714">
        <w:rPr>
          <w:b/>
          <w:i/>
        </w:rPr>
        <w:t>New Mailing Address:</w:t>
      </w:r>
      <w:r>
        <w:t xml:space="preserve"> _____________________________________________________</w:t>
      </w:r>
    </w:p>
    <w:p w14:paraId="3777A010" w14:textId="77777777" w:rsidR="00041F08" w:rsidRDefault="00041F08" w:rsidP="00041F08">
      <w:pPr>
        <w:pStyle w:val="NoSpacing"/>
      </w:pPr>
    </w:p>
    <w:p w14:paraId="034467F9" w14:textId="77777777" w:rsidR="00041F08" w:rsidRDefault="00041F08" w:rsidP="00041F08">
      <w:pPr>
        <w:pStyle w:val="NoSpacing"/>
      </w:pPr>
      <w:r w:rsidRPr="008B1714">
        <w:rPr>
          <w:b/>
          <w:i/>
        </w:rPr>
        <w:t xml:space="preserve">State/City/Zip </w:t>
      </w:r>
      <w:r w:rsidR="006B2C45">
        <w:rPr>
          <w:b/>
          <w:i/>
        </w:rPr>
        <w:t>C</w:t>
      </w:r>
      <w:r w:rsidRPr="008B1714">
        <w:rPr>
          <w:b/>
          <w:i/>
        </w:rPr>
        <w:t>ode:</w:t>
      </w:r>
      <w:r>
        <w:t xml:space="preserve"> _______________________________________________________</w:t>
      </w:r>
    </w:p>
    <w:p w14:paraId="72556CFB" w14:textId="77777777" w:rsidR="00041F08" w:rsidRDefault="00041F08" w:rsidP="00041F08">
      <w:pPr>
        <w:pStyle w:val="NoSpacing"/>
      </w:pPr>
    </w:p>
    <w:p w14:paraId="5242DBDC" w14:textId="77777777" w:rsidR="00041F08" w:rsidRDefault="00041F08" w:rsidP="00041F08">
      <w:pPr>
        <w:pStyle w:val="NoSpacing"/>
      </w:pPr>
      <w:r w:rsidRPr="008B1714">
        <w:rPr>
          <w:b/>
          <w:i/>
        </w:rPr>
        <w:t>Signature:</w:t>
      </w:r>
      <w:r>
        <w:t xml:space="preserve"> ____________________________________________ </w:t>
      </w:r>
      <w:r w:rsidRPr="008B1714">
        <w:rPr>
          <w:b/>
          <w:i/>
        </w:rPr>
        <w:t>Date:</w:t>
      </w:r>
      <w:r>
        <w:t xml:space="preserve"> _____________</w:t>
      </w:r>
    </w:p>
    <w:p w14:paraId="69F96F72" w14:textId="77777777" w:rsidR="00041F08" w:rsidRDefault="00041F08" w:rsidP="00041F08">
      <w:pPr>
        <w:pStyle w:val="NoSpacing"/>
      </w:pPr>
    </w:p>
    <w:p w14:paraId="2135512B" w14:textId="77777777" w:rsidR="00041F08" w:rsidRDefault="00041F08" w:rsidP="00041F08">
      <w:pPr>
        <w:pStyle w:val="NoSpacing"/>
      </w:pPr>
      <w:r>
        <w:t>If you have any questions please feel free to contact me.</w:t>
      </w:r>
    </w:p>
    <w:p w14:paraId="15778F8D" w14:textId="77777777" w:rsidR="00041F08" w:rsidRDefault="00041F08" w:rsidP="00041F08">
      <w:pPr>
        <w:pStyle w:val="NoSpacing"/>
      </w:pPr>
    </w:p>
    <w:p w14:paraId="26CADF27" w14:textId="77777777" w:rsidR="00041F08" w:rsidRDefault="00041F08" w:rsidP="00041F08">
      <w:pPr>
        <w:pStyle w:val="NoSpacing"/>
      </w:pPr>
      <w:r>
        <w:t>Sincerely yours,</w:t>
      </w:r>
    </w:p>
    <w:p w14:paraId="4FDFA738" w14:textId="77777777" w:rsidR="00041F08" w:rsidRDefault="00041F08" w:rsidP="00041F08">
      <w:pPr>
        <w:pStyle w:val="NoSpacing"/>
      </w:pPr>
    </w:p>
    <w:p w14:paraId="521EF732" w14:textId="77777777" w:rsidR="00041F08" w:rsidRDefault="00041F08" w:rsidP="00041F08">
      <w:pPr>
        <w:pStyle w:val="NoSpacing"/>
      </w:pPr>
    </w:p>
    <w:p w14:paraId="08FE0991" w14:textId="77777777" w:rsidR="00041F08" w:rsidRDefault="00041F08" w:rsidP="00041F08">
      <w:pPr>
        <w:pStyle w:val="NoSpacing"/>
      </w:pPr>
      <w:r>
        <w:t>&lt;Name of School/Center Contact&gt;</w:t>
      </w:r>
    </w:p>
    <w:p w14:paraId="14C1AF55" w14:textId="77777777" w:rsidR="00041F08" w:rsidRDefault="00041F08" w:rsidP="00041F08">
      <w:pPr>
        <w:pStyle w:val="NoSpacing"/>
      </w:pPr>
      <w:r>
        <w:t>&lt;Title&gt;</w:t>
      </w:r>
    </w:p>
    <w:p w14:paraId="6570176F" w14:textId="77777777" w:rsidR="00041F08" w:rsidRDefault="00041F08" w:rsidP="00041F08">
      <w:pPr>
        <w:pStyle w:val="NoSpacing"/>
      </w:pPr>
      <w:r>
        <w:t>&lt;Address&gt;</w:t>
      </w:r>
    </w:p>
    <w:p w14:paraId="183FE913" w14:textId="77777777" w:rsidR="00041F08" w:rsidRDefault="00041F08" w:rsidP="00041F08">
      <w:pPr>
        <w:pStyle w:val="NoSpacing"/>
      </w:pPr>
      <w:r>
        <w:lastRenderedPageBreak/>
        <w:t>&lt;Telephone&gt;</w:t>
      </w:r>
    </w:p>
    <w:p w14:paraId="66DD3905" w14:textId="77777777" w:rsidR="00041F08" w:rsidRPr="00041F08" w:rsidRDefault="00041F08" w:rsidP="00041F08">
      <w:pPr>
        <w:pStyle w:val="NoSpacing"/>
        <w:rPr>
          <w:rFonts w:ascii="Times New Roman" w:hAnsi="Times New Roman" w:cs="Times New Roman"/>
        </w:rPr>
      </w:pPr>
      <w:r>
        <w:t>&lt;Fax Number&gt;</w:t>
      </w:r>
    </w:p>
    <w:sectPr w:rsidR="00041F08" w:rsidRPr="00041F08" w:rsidSect="00BE49D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DDD77" w14:textId="77777777" w:rsidR="00CD4380" w:rsidRDefault="00CD4380" w:rsidP="007E400B">
      <w:pPr>
        <w:spacing w:after="0" w:line="240" w:lineRule="auto"/>
      </w:pPr>
      <w:r>
        <w:separator/>
      </w:r>
    </w:p>
  </w:endnote>
  <w:endnote w:type="continuationSeparator" w:id="0">
    <w:p w14:paraId="218D31AA" w14:textId="77777777" w:rsidR="00CD4380" w:rsidRDefault="00CD4380" w:rsidP="007E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01844"/>
      <w:docPartObj>
        <w:docPartGallery w:val="Page Numbers (Bottom of Page)"/>
        <w:docPartUnique/>
      </w:docPartObj>
    </w:sdtPr>
    <w:sdtEndPr/>
    <w:sdtContent>
      <w:sdt>
        <w:sdtPr>
          <w:id w:val="565050523"/>
          <w:docPartObj>
            <w:docPartGallery w:val="Page Numbers (Top of Page)"/>
            <w:docPartUnique/>
          </w:docPartObj>
        </w:sdtPr>
        <w:sdtEndPr/>
        <w:sdtContent>
          <w:p w14:paraId="47F54146" w14:textId="3A7E9CAD" w:rsidR="00FF2D17" w:rsidRDefault="00FF2D17">
            <w:pPr>
              <w:pStyle w:val="Footer"/>
              <w:jc w:val="right"/>
            </w:pPr>
            <w:r>
              <w:t xml:space="preserve">Page </w:t>
            </w:r>
            <w:r w:rsidR="008644BF">
              <w:rPr>
                <w:b/>
                <w:sz w:val="24"/>
                <w:szCs w:val="24"/>
              </w:rPr>
              <w:fldChar w:fldCharType="begin"/>
            </w:r>
            <w:r>
              <w:rPr>
                <w:b/>
              </w:rPr>
              <w:instrText xml:space="preserve"> PAGE </w:instrText>
            </w:r>
            <w:r w:rsidR="008644BF">
              <w:rPr>
                <w:b/>
                <w:sz w:val="24"/>
                <w:szCs w:val="24"/>
              </w:rPr>
              <w:fldChar w:fldCharType="separate"/>
            </w:r>
            <w:r w:rsidR="00FA77D5">
              <w:rPr>
                <w:b/>
                <w:noProof/>
              </w:rPr>
              <w:t>4</w:t>
            </w:r>
            <w:r w:rsidR="008644BF">
              <w:rPr>
                <w:b/>
                <w:sz w:val="24"/>
                <w:szCs w:val="24"/>
              </w:rPr>
              <w:fldChar w:fldCharType="end"/>
            </w:r>
            <w:r>
              <w:t xml:space="preserve"> of </w:t>
            </w:r>
            <w:r w:rsidR="008644BF">
              <w:rPr>
                <w:b/>
                <w:sz w:val="24"/>
                <w:szCs w:val="24"/>
              </w:rPr>
              <w:fldChar w:fldCharType="begin"/>
            </w:r>
            <w:r>
              <w:rPr>
                <w:b/>
              </w:rPr>
              <w:instrText xml:space="preserve"> NUMPAGES  </w:instrText>
            </w:r>
            <w:r w:rsidR="008644BF">
              <w:rPr>
                <w:b/>
                <w:sz w:val="24"/>
                <w:szCs w:val="24"/>
              </w:rPr>
              <w:fldChar w:fldCharType="separate"/>
            </w:r>
            <w:r w:rsidR="00FA77D5">
              <w:rPr>
                <w:b/>
                <w:noProof/>
              </w:rPr>
              <w:t>5</w:t>
            </w:r>
            <w:r w:rsidR="008644BF">
              <w:rPr>
                <w:b/>
                <w:sz w:val="24"/>
                <w:szCs w:val="24"/>
              </w:rPr>
              <w:fldChar w:fldCharType="end"/>
            </w:r>
          </w:p>
        </w:sdtContent>
      </w:sdt>
    </w:sdtContent>
  </w:sdt>
  <w:p w14:paraId="26D5E908" w14:textId="77777777" w:rsidR="00FF2D17" w:rsidRDefault="00FF2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901E41" w14:textId="77777777" w:rsidR="00CD4380" w:rsidRDefault="00CD4380" w:rsidP="007E400B">
      <w:pPr>
        <w:spacing w:after="0" w:line="240" w:lineRule="auto"/>
      </w:pPr>
      <w:r>
        <w:separator/>
      </w:r>
    </w:p>
  </w:footnote>
  <w:footnote w:type="continuationSeparator" w:id="0">
    <w:p w14:paraId="31D99381" w14:textId="77777777" w:rsidR="00CD4380" w:rsidRDefault="00CD4380" w:rsidP="007E4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A5DA2"/>
    <w:multiLevelType w:val="hybridMultilevel"/>
    <w:tmpl w:val="9B42C8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625D2C"/>
    <w:multiLevelType w:val="hybridMultilevel"/>
    <w:tmpl w:val="435815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34"/>
    <w:rsid w:val="00005CF2"/>
    <w:rsid w:val="00041F08"/>
    <w:rsid w:val="000538B9"/>
    <w:rsid w:val="000652D8"/>
    <w:rsid w:val="00073407"/>
    <w:rsid w:val="00086533"/>
    <w:rsid w:val="000D2DBE"/>
    <w:rsid w:val="000F09B5"/>
    <w:rsid w:val="00107E59"/>
    <w:rsid w:val="00121E79"/>
    <w:rsid w:val="001311DC"/>
    <w:rsid w:val="00135B4B"/>
    <w:rsid w:val="0014732B"/>
    <w:rsid w:val="00154EF8"/>
    <w:rsid w:val="00191EA3"/>
    <w:rsid w:val="001A2B07"/>
    <w:rsid w:val="001B753D"/>
    <w:rsid w:val="001C0B0F"/>
    <w:rsid w:val="001C7200"/>
    <w:rsid w:val="001D395C"/>
    <w:rsid w:val="00204BD8"/>
    <w:rsid w:val="00292446"/>
    <w:rsid w:val="0029603C"/>
    <w:rsid w:val="002B1AAA"/>
    <w:rsid w:val="002B244F"/>
    <w:rsid w:val="002D1958"/>
    <w:rsid w:val="002D6858"/>
    <w:rsid w:val="002F0A7F"/>
    <w:rsid w:val="002F2E80"/>
    <w:rsid w:val="002F6C67"/>
    <w:rsid w:val="00300B8E"/>
    <w:rsid w:val="00352655"/>
    <w:rsid w:val="00382E4E"/>
    <w:rsid w:val="00383AE2"/>
    <w:rsid w:val="003A0D4C"/>
    <w:rsid w:val="00451F52"/>
    <w:rsid w:val="004539DC"/>
    <w:rsid w:val="00470276"/>
    <w:rsid w:val="00471CB2"/>
    <w:rsid w:val="00481525"/>
    <w:rsid w:val="00482339"/>
    <w:rsid w:val="004C110B"/>
    <w:rsid w:val="004C1655"/>
    <w:rsid w:val="004E0CE9"/>
    <w:rsid w:val="004F671F"/>
    <w:rsid w:val="00511964"/>
    <w:rsid w:val="00516325"/>
    <w:rsid w:val="0052205E"/>
    <w:rsid w:val="00575E86"/>
    <w:rsid w:val="00584582"/>
    <w:rsid w:val="005848BC"/>
    <w:rsid w:val="005931BF"/>
    <w:rsid w:val="005F1531"/>
    <w:rsid w:val="005F351E"/>
    <w:rsid w:val="00610DE0"/>
    <w:rsid w:val="0063195C"/>
    <w:rsid w:val="00681AB5"/>
    <w:rsid w:val="006B0781"/>
    <w:rsid w:val="006B277F"/>
    <w:rsid w:val="006B2C45"/>
    <w:rsid w:val="006C3FD0"/>
    <w:rsid w:val="007077D9"/>
    <w:rsid w:val="007171F4"/>
    <w:rsid w:val="0073524B"/>
    <w:rsid w:val="0074786C"/>
    <w:rsid w:val="0075039F"/>
    <w:rsid w:val="007C54E4"/>
    <w:rsid w:val="007E400B"/>
    <w:rsid w:val="007F1083"/>
    <w:rsid w:val="00837319"/>
    <w:rsid w:val="008644BF"/>
    <w:rsid w:val="008A7348"/>
    <w:rsid w:val="008D704E"/>
    <w:rsid w:val="0090486C"/>
    <w:rsid w:val="00922117"/>
    <w:rsid w:val="00971E11"/>
    <w:rsid w:val="00973AB7"/>
    <w:rsid w:val="009B6ADD"/>
    <w:rsid w:val="009F1031"/>
    <w:rsid w:val="009F1CCC"/>
    <w:rsid w:val="00A149A8"/>
    <w:rsid w:val="00A32576"/>
    <w:rsid w:val="00A376FC"/>
    <w:rsid w:val="00A57412"/>
    <w:rsid w:val="00A65CE6"/>
    <w:rsid w:val="00A92DA4"/>
    <w:rsid w:val="00AB0FF0"/>
    <w:rsid w:val="00AC7C10"/>
    <w:rsid w:val="00AF28A1"/>
    <w:rsid w:val="00B106F0"/>
    <w:rsid w:val="00B164FC"/>
    <w:rsid w:val="00B8046B"/>
    <w:rsid w:val="00B906CB"/>
    <w:rsid w:val="00BB3F84"/>
    <w:rsid w:val="00BE49DE"/>
    <w:rsid w:val="00C15583"/>
    <w:rsid w:val="00C57F43"/>
    <w:rsid w:val="00C607FE"/>
    <w:rsid w:val="00C71B0B"/>
    <w:rsid w:val="00C75A0C"/>
    <w:rsid w:val="00CD38F6"/>
    <w:rsid w:val="00CD4380"/>
    <w:rsid w:val="00CD5834"/>
    <w:rsid w:val="00CD6E53"/>
    <w:rsid w:val="00CD7C85"/>
    <w:rsid w:val="00D228CE"/>
    <w:rsid w:val="00D47C9A"/>
    <w:rsid w:val="00D7027E"/>
    <w:rsid w:val="00D82DB9"/>
    <w:rsid w:val="00D9088A"/>
    <w:rsid w:val="00D92414"/>
    <w:rsid w:val="00E12313"/>
    <w:rsid w:val="00E33322"/>
    <w:rsid w:val="00E3389C"/>
    <w:rsid w:val="00E46BD1"/>
    <w:rsid w:val="00E8319A"/>
    <w:rsid w:val="00E96DC5"/>
    <w:rsid w:val="00E97591"/>
    <w:rsid w:val="00EF3F6A"/>
    <w:rsid w:val="00EF48FF"/>
    <w:rsid w:val="00F07820"/>
    <w:rsid w:val="00F160AC"/>
    <w:rsid w:val="00F231FD"/>
    <w:rsid w:val="00F27AF3"/>
    <w:rsid w:val="00F373C7"/>
    <w:rsid w:val="00F46F80"/>
    <w:rsid w:val="00F50795"/>
    <w:rsid w:val="00F52AA6"/>
    <w:rsid w:val="00F670B2"/>
    <w:rsid w:val="00FA77D5"/>
    <w:rsid w:val="00FB709C"/>
    <w:rsid w:val="00FF2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D2C8E"/>
  <w15:docId w15:val="{CB227D3A-1470-4699-A603-FB274196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5834"/>
    <w:pPr>
      <w:spacing w:after="0" w:line="240" w:lineRule="auto"/>
    </w:pPr>
  </w:style>
  <w:style w:type="paragraph" w:styleId="Header">
    <w:name w:val="header"/>
    <w:basedOn w:val="Normal"/>
    <w:link w:val="HeaderChar"/>
    <w:uiPriority w:val="99"/>
    <w:semiHidden/>
    <w:unhideWhenUsed/>
    <w:rsid w:val="007E40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00B"/>
  </w:style>
  <w:style w:type="paragraph" w:styleId="Footer">
    <w:name w:val="footer"/>
    <w:basedOn w:val="Normal"/>
    <w:link w:val="FooterChar"/>
    <w:uiPriority w:val="99"/>
    <w:unhideWhenUsed/>
    <w:rsid w:val="007E4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00B"/>
  </w:style>
  <w:style w:type="character" w:styleId="Hyperlink">
    <w:name w:val="Hyperlink"/>
    <w:basedOn w:val="DefaultParagraphFont"/>
    <w:uiPriority w:val="99"/>
    <w:unhideWhenUsed/>
    <w:rsid w:val="00AC7C10"/>
    <w:rPr>
      <w:color w:val="0000FF" w:themeColor="hyperlink"/>
      <w:u w:val="single"/>
    </w:rPr>
  </w:style>
  <w:style w:type="paragraph" w:styleId="ListParagraph">
    <w:name w:val="List Paragraph"/>
    <w:basedOn w:val="Normal"/>
    <w:uiPriority w:val="34"/>
    <w:qFormat/>
    <w:rsid w:val="000F09B5"/>
    <w:pPr>
      <w:ind w:left="720"/>
      <w:contextualSpacing/>
    </w:pPr>
  </w:style>
  <w:style w:type="table" w:styleId="ColorfulList-Accent1">
    <w:name w:val="Colorful List Accent 1"/>
    <w:basedOn w:val="TableNormal"/>
    <w:uiPriority w:val="72"/>
    <w:rsid w:val="005931B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BalloonText">
    <w:name w:val="Balloon Text"/>
    <w:basedOn w:val="Normal"/>
    <w:link w:val="BalloonTextChar"/>
    <w:uiPriority w:val="99"/>
    <w:semiHidden/>
    <w:unhideWhenUsed/>
    <w:rsid w:val="00D9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88A"/>
    <w:rPr>
      <w:rFonts w:ascii="Tahoma" w:hAnsi="Tahoma" w:cs="Tahoma"/>
      <w:sz w:val="16"/>
      <w:szCs w:val="16"/>
    </w:rPr>
  </w:style>
  <w:style w:type="character" w:styleId="CommentReference">
    <w:name w:val="annotation reference"/>
    <w:basedOn w:val="DefaultParagraphFont"/>
    <w:uiPriority w:val="99"/>
    <w:semiHidden/>
    <w:unhideWhenUsed/>
    <w:rsid w:val="00471CB2"/>
    <w:rPr>
      <w:sz w:val="16"/>
      <w:szCs w:val="16"/>
    </w:rPr>
  </w:style>
  <w:style w:type="paragraph" w:styleId="CommentText">
    <w:name w:val="annotation text"/>
    <w:basedOn w:val="Normal"/>
    <w:link w:val="CommentTextChar"/>
    <w:uiPriority w:val="99"/>
    <w:semiHidden/>
    <w:unhideWhenUsed/>
    <w:rsid w:val="00471CB2"/>
    <w:pPr>
      <w:spacing w:line="240" w:lineRule="auto"/>
    </w:pPr>
    <w:rPr>
      <w:sz w:val="20"/>
      <w:szCs w:val="20"/>
    </w:rPr>
  </w:style>
  <w:style w:type="character" w:customStyle="1" w:styleId="CommentTextChar">
    <w:name w:val="Comment Text Char"/>
    <w:basedOn w:val="DefaultParagraphFont"/>
    <w:link w:val="CommentText"/>
    <w:uiPriority w:val="99"/>
    <w:semiHidden/>
    <w:rsid w:val="00471CB2"/>
    <w:rPr>
      <w:sz w:val="20"/>
      <w:szCs w:val="20"/>
    </w:rPr>
  </w:style>
  <w:style w:type="paragraph" w:styleId="CommentSubject">
    <w:name w:val="annotation subject"/>
    <w:basedOn w:val="CommentText"/>
    <w:next w:val="CommentText"/>
    <w:link w:val="CommentSubjectChar"/>
    <w:uiPriority w:val="99"/>
    <w:semiHidden/>
    <w:unhideWhenUsed/>
    <w:rsid w:val="00471CB2"/>
    <w:rPr>
      <w:b/>
      <w:bCs/>
    </w:rPr>
  </w:style>
  <w:style w:type="character" w:customStyle="1" w:styleId="CommentSubjectChar">
    <w:name w:val="Comment Subject Char"/>
    <w:basedOn w:val="CommentTextChar"/>
    <w:link w:val="CommentSubject"/>
    <w:uiPriority w:val="99"/>
    <w:semiHidden/>
    <w:rsid w:val="00471C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5FCE6-26AB-4BFD-8271-360461439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6222</Characters>
  <Application>Microsoft Office Word</Application>
  <DocSecurity>0</DocSecurity>
  <Lines>200</Lines>
  <Paragraphs>129</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A. Knaul</dc:creator>
  <cp:lastModifiedBy>Smale, Travis</cp:lastModifiedBy>
  <cp:revision>2</cp:revision>
  <cp:lastPrinted>2014-06-13T18:24:00Z</cp:lastPrinted>
  <dcterms:created xsi:type="dcterms:W3CDTF">2021-06-02T18:15:00Z</dcterms:created>
  <dcterms:modified xsi:type="dcterms:W3CDTF">2021-06-02T18:15:00Z</dcterms:modified>
</cp:coreProperties>
</file>